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14c3a3c631cf9e5088f1f8e36d9594e634b8d7e"/>
    <w:p>
      <w:pPr>
        <w:pStyle w:val="Heading1"/>
      </w:pPr>
      <w:r>
        <w:t xml:space="preserve">Rapport d’Évaluation Pédagogique – Mathématiques</w:t>
      </w:r>
    </w:p>
    <w:bookmarkStart w:id="9" w:name="diagnostic-global-et-notation"/>
    <w:p>
      <w:pPr>
        <w:pStyle w:val="Heading2"/>
      </w:pPr>
      <w:r>
        <w:t xml:space="preserve">1. Diagnostic global et notation</w:t>
      </w:r>
    </w:p>
    <w:p>
      <w:pPr>
        <w:pStyle w:val="Compact"/>
        <w:numPr>
          <w:ilvl w:val="0"/>
          <w:numId w:val="1001"/>
        </w:numPr>
      </w:pPr>
      <w:r>
        <w:rPr>
          <w:b/>
          <w:bCs/>
        </w:rPr>
        <w:t xml:space="preserve">Note attribuée</w:t>
      </w:r>
      <w:r>
        <w:t xml:space="preserve"> </w:t>
      </w:r>
      <w:r>
        <w:t xml:space="preserve">:</w:t>
      </w:r>
      <w:r>
        <w:t xml:space="preserve"> </w:t>
      </w:r>
      <w:r>
        <w:rPr>
          <w:b/>
          <w:bCs/>
        </w:rPr>
        <w:t xml:space="preserve">2 / 5</w:t>
      </w:r>
      <w:r>
        <w:t xml:space="preserve"> </w:t>
      </w:r>
      <w:r>
        <w:t xml:space="preserve">(notation assouplie prenant en compte la démarche initiale encourageante).</w:t>
      </w:r>
    </w:p>
    <w:p>
      <w:pPr>
        <w:pStyle w:val="Compact"/>
        <w:numPr>
          <w:ilvl w:val="0"/>
          <w:numId w:val="1001"/>
        </w:numPr>
      </w:pPr>
      <w:r>
        <w:rPr>
          <w:b/>
          <w:bCs/>
        </w:rPr>
        <w:t xml:space="preserve">Points forts</w:t>
      </w:r>
      <w:r>
        <w:t xml:space="preserve"> </w:t>
      </w:r>
      <w:r>
        <w:t xml:space="preserve">: L’élève identifie correctement la condition d’inversibilité d’une matrice carrée d’ordre 2 par l’annulation de son déterminant (</w:t>
      </w:r>
      <m:oMath>
        <m:r>
          <m:rPr>
            <m:sty m:val="p"/>
          </m:rPr>
          <m:t>det</m:t>
        </m:r>
        <m:r>
          <m:rPr>
            <m:sty m:val="p"/>
          </m:rPr>
          <m:t>(</m:t>
        </m:r>
        <m:r>
          <m:t>A</m:t>
        </m:r>
        <m:r>
          <m:rPr>
            <m:sty m:val="p"/>
          </m:rPr>
          <m:t>)</m:t>
        </m:r>
        <m:r>
          <m:rPr>
            <m:sty m:val="p"/>
          </m:rPr>
          <m:t>≠</m:t>
        </m:r>
        <m:r>
          <m:t>0</m:t>
        </m:r>
      </m:oMath>
      <w:r>
        <w:t xml:space="preserve">) et amorce correctement le calcul littéral.</w:t>
      </w:r>
    </w:p>
    <w:p>
      <w:pPr>
        <w:pStyle w:val="Compact"/>
        <w:numPr>
          <w:ilvl w:val="0"/>
          <w:numId w:val="1001"/>
        </w:numPr>
      </w:pPr>
      <w:r>
        <w:rPr>
          <w:b/>
          <w:bCs/>
        </w:rPr>
        <w:t xml:space="preserve">Points d’attention prioritaires</w:t>
      </w:r>
      <w:r>
        <w:t xml:space="preserve"> </w:t>
      </w:r>
      <w:r>
        <w:t xml:space="preserve">: Précipitation sur la structure des ensembles numériques et confusion dans la formule générale de l’inverse d’une matrice</w:t>
      </w:r>
      <w:r>
        <w:t xml:space="preserve"> </w:t>
      </w:r>
      <m:oMath>
        <m:r>
          <m:t>2</m:t>
        </m:r>
        <m:r>
          <m:rPr>
            <m:sty m:val="p"/>
          </m:rPr>
          <m:t>×</m:t>
        </m:r>
        <m:r>
          <m:t>2</m:t>
        </m:r>
      </m:oMath>
      <w:r>
        <w:t xml:space="preserve">.</w:t>
      </w:r>
    </w:p>
    <w:p>
      <w:r>
        <w:pict>
          <v:rect style="width:0;height:1.5pt" o:hralign="center" o:hrstd="t" o:hr="t"/>
        </w:pict>
      </w:r>
    </w:p>
    <w:bookmarkEnd w:id="9"/>
    <w:bookmarkStart w:id="12" w:name="analyse-détaillée-étape-par-étape"/>
    <w:p>
      <w:pPr>
        <w:pStyle w:val="Heading2"/>
      </w:pPr>
      <w:r>
        <w:t xml:space="preserve">2. Analyse détaillée étape par étape</w:t>
      </w:r>
    </w:p>
    <w:bookmarkStart w:id="10" w:name="exercice-1-sur-25-points"/>
    <w:p>
      <w:pPr>
        <w:pStyle w:val="Heading3"/>
      </w:pPr>
      <w:r>
        <w:rPr>
          <w:b/>
          <w:bCs/>
        </w:rPr>
        <w:t xml:space="preserve">Exercice 1 (Sur 2,5 points)</w:t>
      </w:r>
    </w:p>
    <w:p>
      <w:pPr>
        <w:pStyle w:val="Compact"/>
        <w:numPr>
          <w:ilvl w:val="0"/>
          <w:numId w:val="1002"/>
        </w:numPr>
      </w:pPr>
      <w:r>
        <w:rPr>
          <w:b/>
          <w:bCs/>
        </w:rPr>
        <w:t xml:space="preserve">Question 1</w:t>
      </w:r>
      <w:r>
        <w:t xml:space="preserve"> </w:t>
      </w:r>
      <w:r>
        <w:t xml:space="preserve">:</w:t>
      </w:r>
    </w:p>
    <w:p>
      <w:pPr>
        <w:pStyle w:val="Compact"/>
        <w:numPr>
          <w:ilvl w:val="1"/>
          <w:numId w:val="1003"/>
        </w:numPr>
      </w:pPr>
      <w:r>
        <w:t xml:space="preserve">Calcul du déterminant :</w:t>
      </w:r>
      <w:r>
        <w:t xml:space="preserve"> </w:t>
      </w:r>
      <m:oMath>
        <m:r>
          <m:rPr>
            <m:sty m:val="p"/>
          </m:rPr>
          <m:t>det</m:t>
        </m:r>
        <m:r>
          <m:rPr>
            <m:sty m:val="p"/>
          </m:rPr>
          <m:t>(</m:t>
        </m:r>
        <m:r>
          <m:t>A</m:t>
        </m:r>
        <m:r>
          <m:rPr>
            <m:sty m:val="p"/>
          </m:rPr>
          <m:t>)</m:t>
        </m:r>
        <m:r>
          <m:rPr>
            <m:sty m:val="p"/>
          </m:rPr>
          <m:t>=</m:t>
        </m:r>
        <m:r>
          <m:t>7</m:t>
        </m:r>
        <m:r>
          <m:t>a</m:t>
        </m:r>
        <m:r>
          <m:rPr>
            <m:sty m:val="p"/>
          </m:rPr>
          <m:t>−</m:t>
        </m:r>
        <m:r>
          <m:rPr>
            <m:sty m:val="p"/>
          </m:rPr>
          <m:t>(</m:t>
        </m:r>
        <m:r>
          <m:rPr>
            <m:sty m:val="p"/>
          </m:rPr>
          <m:t>−</m:t>
        </m:r>
        <m:r>
          <m:t>7</m:t>
        </m:r>
        <m:r>
          <m:rPr>
            <m:sty m:val="p"/>
          </m:rPr>
          <m:t>)</m:t>
        </m:r>
        <m:r>
          <m:rPr>
            <m:sty m:val="p"/>
          </m:rPr>
          <m:t>(</m:t>
        </m:r>
        <m:r>
          <m:t>1</m:t>
        </m:r>
        <m:r>
          <m:rPr>
            <m:sty m:val="p"/>
          </m:rPr>
          <m:t>)</m:t>
        </m:r>
        <m:r>
          <m:rPr>
            <m:sty m:val="p"/>
          </m:rPr>
          <m:t>=</m:t>
        </m:r>
        <m:r>
          <m:t>7</m:t>
        </m:r>
        <m:r>
          <m:t>a</m:t>
        </m:r>
        <m:r>
          <m:rPr>
            <m:sty m:val="p"/>
          </m:rPr>
          <m:t>+</m:t>
        </m:r>
        <m:r>
          <m:t>7</m:t>
        </m:r>
      </m:oMath>
      <w:r>
        <w:t xml:space="preserve">. (Parfait).</w:t>
      </w:r>
    </w:p>
    <w:p>
      <w:pPr>
        <w:pStyle w:val="Compact"/>
        <w:numPr>
          <w:ilvl w:val="1"/>
          <w:numId w:val="1003"/>
        </w:numPr>
      </w:pPr>
      <w:r>
        <w:rPr>
          <w:i/>
          <w:iCs/>
        </w:rPr>
        <w:t xml:space="preserve">Remarque sur la rédaction</w:t>
      </w:r>
      <w:r>
        <w:t xml:space="preserve"> </w:t>
      </w:r>
      <w:r>
        <w:t xml:space="preserve">: L’élève pose</w:t>
      </w:r>
      <w:r>
        <w:t xml:space="preserve"> </w:t>
      </w:r>
      <m:oMath>
        <m:r>
          <m:t>7</m:t>
        </m:r>
        <m:r>
          <m:t>a</m:t>
        </m:r>
        <m:r>
          <m:rPr>
            <m:sty m:val="p"/>
          </m:rPr>
          <m:t>+</m:t>
        </m:r>
        <m:r>
          <m:t>7</m:t>
        </m:r>
        <m:r>
          <m:rPr>
            <m:sty m:val="p"/>
          </m:rPr>
          <m:t>≠</m:t>
        </m:r>
        <m:r>
          <m:t>0</m:t>
        </m:r>
        <m:r>
          <m:rPr>
            <m:sty m:val="p"/>
          </m:rPr>
          <m:t>⟹</m:t>
        </m:r>
        <m:r>
          <m:t>a</m:t>
        </m:r>
        <m:r>
          <m:rPr>
            <m:sty m:val="p"/>
          </m:rPr>
          <m:t>≠</m:t>
        </m:r>
        <m:r>
          <m:rPr>
            <m:sty m:val="p"/>
          </m:rPr>
          <m:t>−</m:t>
        </m:r>
        <m:r>
          <m:t>1</m:t>
        </m:r>
      </m:oMath>
      <w:r>
        <w:t xml:space="preserve">, mais restreint ensuite arbitrairement le paramètre</w:t>
      </w:r>
      <w:r>
        <w:t xml:space="preserve"> </w:t>
      </w:r>
      <m:oMath>
        <m:r>
          <m:t>a</m:t>
        </m:r>
      </m:oMath>
      <w:r>
        <w:t xml:space="preserve"> </w:t>
      </w:r>
      <w:r>
        <w:t xml:space="preserve">à</w:t>
      </w:r>
      <w:r>
        <w:t xml:space="preserve"> </w:t>
      </w:r>
      <m:oMath>
        <m:r>
          <m:rPr>
            <m:scr m:val="double-struck"/>
            <m:sty m:val="p"/>
          </m:rPr>
          <m:t>N</m:t>
        </m:r>
      </m:oMath>
      <w:r>
        <w:t xml:space="preserve"> </w:t>
      </w:r>
      <w:r>
        <w:t xml:space="preserve">ou</w:t>
      </w:r>
      <w:r>
        <w:t xml:space="preserve"> </w:t>
      </w:r>
      <m:oMath>
        <m:r>
          <m:t>a</m:t>
        </m:r>
        <m:r>
          <m:rPr>
            <m:sty m:val="p"/>
          </m:rPr>
          <m:t>≥</m:t>
        </m:r>
        <m:r>
          <m:t>0</m:t>
        </m:r>
      </m:oMath>
      <w:r>
        <w:t xml:space="preserve"> </w:t>
      </w:r>
      <w:r>
        <w:t xml:space="preserve">sans justification de l’énoncé. Une correction plus souple valorise le calcul algébrique correct tout en signalant la confusion sur l’ensemble de définition du paramètre réel.</w:t>
      </w:r>
      <w:r>
        <w:t xml:space="preserve"> </w:t>
      </w:r>
      <w:r>
        <w:rPr>
          <w:i/>
          <w:iCs/>
        </w:rPr>
        <w:t xml:space="preserve">(Attribué : 1,5 / 1,5)</w:t>
      </w:r>
    </w:p>
    <w:p>
      <w:pPr>
        <w:pStyle w:val="Compact"/>
        <w:numPr>
          <w:ilvl w:val="0"/>
          <w:numId w:val="1002"/>
        </w:numPr>
      </w:pPr>
      <w:r>
        <w:rPr>
          <w:b/>
          <w:bCs/>
        </w:rPr>
        <w:t xml:space="preserve">Question 2</w:t>
      </w:r>
      <w:r>
        <w:t xml:space="preserve"> </w:t>
      </w:r>
      <w:r>
        <w:t xml:space="preserve">:</w:t>
      </w:r>
    </w:p>
    <w:p>
      <w:pPr>
        <w:pStyle w:val="Compact"/>
        <w:numPr>
          <w:ilvl w:val="1"/>
          <w:numId w:val="1004"/>
        </w:numPr>
      </w:pPr>
      <w:r>
        <w:rPr>
          <w:i/>
          <w:iCs/>
        </w:rPr>
        <w:t xml:space="preserve">Erreur</w:t>
      </w:r>
      <w:r>
        <w:t xml:space="preserve"> </w:t>
      </w:r>
      <w:r>
        <w:t xml:space="preserve">: Application erronée de la formule de l’inverse (inversion des coefficients diagonaux et erreurs de signes).</w:t>
      </w:r>
      <w:r>
        <w:t xml:space="preserve"> </w:t>
      </w:r>
      <w:r>
        <w:rPr>
          <w:i/>
          <w:iCs/>
        </w:rPr>
        <w:t xml:space="preserve">(Attribué : 0,5 / 1)</w:t>
      </w:r>
    </w:p>
    <w:bookmarkEnd w:id="10"/>
    <w:bookmarkStart w:id="11" w:name="exercice-2-sur-25-points"/>
    <w:p>
      <w:pPr>
        <w:pStyle w:val="Heading3"/>
      </w:pPr>
      <w:r>
        <w:rPr>
          <w:b/>
          <w:bCs/>
        </w:rPr>
        <w:t xml:space="preserve">Exercice 2 (Sur 2,5 points)</w:t>
      </w:r>
    </w:p>
    <w:p>
      <w:pPr>
        <w:pStyle w:val="Compact"/>
        <w:numPr>
          <w:ilvl w:val="0"/>
          <w:numId w:val="1005"/>
        </w:numPr>
      </w:pPr>
      <w:r>
        <w:rPr>
          <w:b/>
          <w:bCs/>
        </w:rPr>
        <w:t xml:space="preserve">Question 1</w:t>
      </w:r>
      <w:r>
        <w:t xml:space="preserve"> </w:t>
      </w:r>
      <w:r>
        <w:t xml:space="preserve">:</w:t>
      </w:r>
    </w:p>
    <w:p>
      <w:pPr>
        <w:pStyle w:val="Compact"/>
        <w:numPr>
          <w:ilvl w:val="1"/>
          <w:numId w:val="1006"/>
        </w:numPr>
      </w:pPr>
      <w:r>
        <w:rPr>
          <w:i/>
          <w:iCs/>
        </w:rPr>
        <w:t xml:space="preserve">Erreur</w:t>
      </w:r>
      <w:r>
        <w:t xml:space="preserve"> </w:t>
      </w:r>
      <w:r>
        <w:t xml:space="preserve">: Tentative de simplification algébrique sur des produits matriciels en oubliant la non-commutativité de la multiplication des matrices.</w:t>
      </w:r>
      <w:r>
        <w:t xml:space="preserve"> </w:t>
      </w:r>
      <w:r>
        <w:rPr>
          <w:i/>
          <w:iCs/>
        </w:rPr>
        <w:t xml:space="preserve">(Attribué : 0 / 2,5)</w:t>
      </w:r>
    </w:p>
    <w:p>
      <w:r>
        <w:pict>
          <v:rect style="width:0;height:1.5pt" o:hralign="center" o:hrstd="t" o:hr="t"/>
        </w:pict>
      </w:r>
    </w:p>
    <w:bookmarkEnd w:id="11"/>
    <w:bookmarkEnd w:id="12"/>
    <w:bookmarkStart w:id="13" w:name="bilan-chiffré"/>
    <w:p>
      <w:pPr>
        <w:pStyle w:val="Heading2"/>
      </w:pPr>
      <w:r>
        <w:t xml:space="preserve">3. Bilan chiffré</w:t>
      </w:r>
    </w:p>
    <w:p>
      <w:pPr>
        <w:pStyle w:val="Compact"/>
        <w:numPr>
          <w:ilvl w:val="0"/>
          <w:numId w:val="1007"/>
        </w:numPr>
      </w:pPr>
      <w:r>
        <w:rPr>
          <w:b/>
          <w:bCs/>
        </w:rPr>
        <w:t xml:space="preserve">Note finale</w:t>
      </w:r>
      <w:r>
        <w:t xml:space="preserve"> </w:t>
      </w:r>
      <w:r>
        <w:t xml:space="preserve">:</w:t>
      </w:r>
      <w:r>
        <w:t xml:space="preserve"> </w:t>
      </w:r>
      <w:r>
        <w:rPr>
          <w:b/>
          <w:bCs/>
        </w:rPr>
        <w:t xml:space="preserve">2 / 5</w:t>
      </w:r>
      <w:r>
        <w:t xml:space="preserve"> </w:t>
      </w:r>
      <w:r>
        <w:t xml:space="preserve">(avec indulgence sur la rédaction du paramètre de l’exercice 1).</w:t>
      </w:r>
    </w:p>
    <w:p>
      <w:r>
        <w:pict>
          <v:rect style="width:0;height:1.5pt" o:hralign="center" o:hrstd="t" o:hr="t"/>
        </w:pict>
      </w:r>
    </w:p>
    <w:bookmarkEnd w:id="13"/>
    <w:bookmarkStart w:id="14" w:name="X0c4390c456a24c2bdc419d11aae919540db3407"/>
    <w:p>
      <w:pPr>
        <w:pStyle w:val="Heading2"/>
      </w:pPr>
      <w:r>
        <w:t xml:space="preserve">4. Appréciation pédagogique et conseil de remédiation</w:t>
      </w:r>
    </w:p>
    <w:p>
      <w:pPr>
        <w:pStyle w:val="BlockText"/>
      </w:pPr>
      <w:r>
        <w:t xml:space="preserve">Un travail qui montre de bonnes intuitions et un réflexe solide sur le calcul de déterminant. L’effort doit désormais porter sur la mémorisation rigoureuse de la formule de l’inverse d’une matrice carrée d’ordre 2 et sur la prudence avec les calculs algébriques matriciels.</w:t>
      </w:r>
    </w:p>
    <w:p>
      <w:pPr>
        <w:pStyle w:val="BlockText"/>
      </w:pPr>
      <w:r>
        <w:rPr>
          <w:b/>
          <w:bCs/>
        </w:rPr>
        <w:t xml:space="preserve">Conseil clé</w:t>
      </w:r>
      <w:r>
        <w:t xml:space="preserve"> </w:t>
      </w:r>
      <w:r>
        <w:t xml:space="preserve">: Reprends calmement la formule de l’inverse</w:t>
      </w:r>
      <w:r>
        <w:t xml:space="preserve"> </w:t>
      </w:r>
      <m:oMath>
        <m:sSup>
          <m:e>
            <m:r>
              <m:t>A</m:t>
            </m:r>
          </m:e>
          <m:sup>
            <m:r>
              <m:rPr>
                <m:sty m:val="p"/>
              </m:rPr>
              <m:t>−</m:t>
            </m:r>
            <m:r>
              <m:t>1</m:t>
            </m:r>
          </m:sup>
        </m:sSup>
        <m:r>
          <m:rPr>
            <m:sty m:val="p"/>
          </m:rPr>
          <m:t>=</m:t>
        </m:r>
        <m:f>
          <m:fPr>
            <m:type m:val="bar"/>
          </m:fPr>
          <m:num>
            <m:r>
              <m:t>1</m:t>
            </m:r>
          </m:num>
          <m:den>
            <m:r>
              <m:rPr>
                <m:sty m:val="p"/>
              </m:rPr>
              <m:t>det</m:t>
            </m:r>
            <m:r>
              <m:rPr>
                <m:sty m:val="p"/>
              </m:rPr>
              <m:t>(</m:t>
            </m:r>
            <m:r>
              <m:t>A</m:t>
            </m:r>
            <m:r>
              <m:rPr>
                <m:sty m:val="p"/>
              </m:rPr>
              <m:t>)</m:t>
            </m:r>
          </m:den>
        </m:f>
        <m:d>
          <m:dPr>
            <m:begChr m:val="("/>
            <m:sepChr m:val=""/>
            <m:endChr m:val=")"/>
            <m:grow/>
          </m:dPr>
          <m:e>
            <m:m>
              <m:mPr>
                <m:baseJc m:val="center"/>
                <m:plcHide m:val="on"/>
                <m:mcs>
                  <m:mc>
                    <m:mcPr>
                      <m:mcJc m:val="center"/>
                      <m:count m:val="1"/>
                    </m:mcPr>
                  </m:mc>
                  <m:mc>
                    <m:mcPr>
                      <m:mcJc m:val="center"/>
                      <m:count m:val="1"/>
                    </m:mcPr>
                  </m:mc>
                </m:mcs>
              </m:mPr>
              <m:mr>
                <m:e>
                  <m:r>
                    <m:t>d</m:t>
                  </m:r>
                </m:e>
                <m:e>
                  <m:r>
                    <m:rPr>
                      <m:sty m:val="p"/>
                    </m:rPr>
                    <m:t>−</m:t>
                  </m:r>
                  <m:r>
                    <m:t>b</m:t>
                  </m:r>
                </m:e>
              </m:mr>
              <m:mr>
                <m:e>
                  <m:r>
                    <m:rPr>
                      <m:sty m:val="p"/>
                    </m:rPr>
                    <m:t>−</m:t>
                  </m:r>
                  <m:r>
                    <m:t>c</m:t>
                  </m:r>
                </m:e>
                <m:e>
                  <m:r>
                    <m:t>a</m:t>
                  </m:r>
                </m:e>
              </m:mr>
            </m:m>
          </m:e>
        </m:d>
      </m:oMath>
      <w:r>
        <w:t xml:space="preserve"> </w:t>
      </w:r>
      <w:r>
        <w:t xml:space="preserve">pour la matrice</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 </w:t>
      </w:r>
      <w:r>
        <w:t xml:space="preserve">et refais des exercices d’entraînement simples.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2026-10-28T03:24:44Z</dcterms:created>
  <dcterms:modified xsi:type="dcterms:W3CDTF">2026-10-28T03:24:44Z</dcterms:modified>
</cp:coreProperties>
</file>

<file path=docProps/custom.xml><?xml version="1.0" encoding="utf-8"?>
<Properties xmlns="http://schemas.openxmlformats.org/officeDocument/2006/custom-properties" xmlns:vt="http://schemas.openxmlformats.org/officeDocument/2006/docPropsVTypes"/>
</file>