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4"/>
          <w:szCs w:val="24"/>
        </w:rPr>
        <w:t xml:space="preserve">CRIME ANALYSIS/INTELLIGENCE OFFICE/ FOCAL POINT</w:t>
      </w:r>
    </w:p>
    <w:p>
      <w:pPr>
        <w:spacing w:after="120"/>
        <w:jc w:val="center"/>
      </w:pPr>
      <w:r>
        <w:rPr>
          <w:b/>
          <w:bCs/>
          <w:sz w:val="24"/>
          <w:szCs w:val="24"/>
        </w:rPr>
        <w:t xml:space="preserve">WEEKLY CRIME ANALYSIS REPORT</w:t>
      </w:r>
    </w:p>
    <w:p>
      <w:pPr>
        <w:spacing w:after="120"/>
        <w:jc w:val="center"/>
      </w:pPr>
      <w:r>
        <w:rPr>
          <w:b/>
          <w:bCs/>
          <w:sz w:val="24"/>
          <w:szCs w:val="24"/>
        </w:rPr>
        <w:t xml:space="preserve">10th October - 16th October 2025</w:t>
      </w:r>
    </w:p>
    <w:p>
      <w:pPr>
        <w:spacing w:after="120"/>
        <w:jc w:val="center"/>
      </w:pPr>
      <w:r>
        <w:rPr>
          <w:b/>
          <w:bCs/>
          <w:sz w:val="22"/>
          <w:szCs w:val="22"/>
        </w:rPr>
        <w:t xml:space="preserve">KUAJOK FIELD OFFICE:</w:t>
      </w:r>
    </w:p>
    <w:p>
      <w:pPr>
        <w:spacing w:after="240"/>
        <w:jc w:val="center"/>
      </w:pPr>
      <w:r>
        <w:rPr>
          <w:b/>
          <w:bCs/>
          <w:sz w:val="22"/>
          <w:szCs w:val="22"/>
        </w:rPr>
        <w:t xml:space="preserve">SUMMARY OF REPORT: WEEKLY</w:t>
      </w:r>
    </w:p>
    <w:p>
      <w:pPr>
        <w:spacing w:after="120"/>
      </w:pPr>
      <w:r>
        <w:rPr>
          <w:b/>
          <w:bCs/>
          <w:sz w:val="22"/>
          <w:szCs w:val="22"/>
        </w:rPr>
        <w:t xml:space="preserve">Abstract:</w:t>
      </w:r>
    </w:p>
    <w:p>
      <w:pPr>
        <w:spacing w:after="240"/>
      </w:pPr>
      <w:r>
        <w:rPr>
          <w:sz w:val="22"/>
          <w:szCs w:val="22"/>
        </w:rPr>
        <w:t xml:space="preserve">During the week under review </w:t>
      </w:r>
      <w:r>
        <w:rPr>
          <w:b/>
          <w:bCs/>
          <w:sz w:val="22"/>
          <w:szCs w:val="22"/>
        </w:rPr>
        <w:t xml:space="preserve">10th October - 16th October 2025</w:t>
      </w:r>
      <w:r>
        <w:rPr>
          <w:sz w:val="22"/>
          <w:szCs w:val="22"/>
        </w:rPr>
        <w:t xml:space="preserve">, a total of </w:t>
      </w:r>
      <w:r>
        <w:rPr>
          <w:b/>
          <w:bCs/>
          <w:sz w:val="22"/>
          <w:szCs w:val="22"/>
        </w:rPr>
        <w:t xml:space="preserve">(12)</w:t>
      </w:r>
      <w:r>
        <w:rPr>
          <w:sz w:val="22"/>
          <w:szCs w:val="22"/>
        </w:rPr>
        <w:t xml:space="preserve"> cases were reported as compared to </w:t>
      </w:r>
      <w:r>
        <w:rPr>
          <w:b/>
          <w:bCs/>
          <w:sz w:val="22"/>
          <w:szCs w:val="22"/>
        </w:rPr>
        <w:t xml:space="preserve">(19)</w:t>
      </w:r>
      <w:r>
        <w:rPr>
          <w:sz w:val="22"/>
          <w:szCs w:val="22"/>
        </w:rPr>
        <w:t xml:space="preserve"> cases which were reported in the previous week. Sources (NPS, FIOC and UNDSS) in Field Office KUAJOK.</w:t>
      </w:r>
    </w:p>
    <w:p>
      <w:pPr>
        <w:spacing w:after="60"/>
      </w:pPr>
      <w:r>
        <w:rPr>
          <w:b/>
          <w:bCs/>
          <w:i/>
          <w:iCs/>
          <w:sz w:val="22"/>
          <w:szCs w:val="22"/>
        </w:rPr>
        <w:t xml:space="preserve">Reason for change in statistics as compared to previous period:</w:t>
      </w:r>
    </w:p>
    <w:p>
      <w:pPr>
        <w:spacing w:after="240"/>
      </w:pPr>
      <w:r>
        <w:rPr>
          <w:sz w:val="22"/>
          <w:szCs w:val="22"/>
        </w:rPr>
        <w:t xml:space="preserve">During the week under review, it was observed that crime statistics have a </w:t>
      </w:r>
      <w:r>
        <w:rPr>
          <w:b/>
          <w:bCs/>
          <w:sz w:val="22"/>
          <w:szCs w:val="22"/>
        </w:rPr>
        <w:t xml:space="preserve">decrease of 36.8%</w:t>
      </w:r>
      <w:r>
        <w:rPr>
          <w:sz w:val="22"/>
          <w:szCs w:val="22"/>
        </w:rPr>
        <w:t xml:space="preserve"> in total incidents as compared to the previous week (from 19 to 12 incidents). However, </w:t>
      </w:r>
      <w:r>
        <w:rPr>
          <w:b/>
          <w:bCs/>
          <w:sz w:val="22"/>
          <w:szCs w:val="22"/>
        </w:rPr>
        <w:t xml:space="preserve">cattle raiding remains the dominant security concern</w:t>
      </w:r>
      <w:r>
        <w:rPr>
          <w:sz w:val="22"/>
          <w:szCs w:val="22"/>
        </w:rPr>
        <w:t xml:space="preserve">, with </w:t>
      </w:r>
      <w:r>
        <w:rPr>
          <w:b/>
          <w:bCs/>
          <w:sz w:val="22"/>
          <w:szCs w:val="22"/>
        </w:rPr>
        <w:t xml:space="preserve">6 separate cattle raid incidents</w:t>
      </w:r>
      <w:r>
        <w:rPr>
          <w:sz w:val="22"/>
          <w:szCs w:val="22"/>
        </w:rPr>
        <w:t xml:space="preserve"> (up from 3 last week) accounting for 50% of all reported crimes. Total cattle stolen reached </w:t>
      </w:r>
      <w:r>
        <w:rPr>
          <w:b/>
          <w:bCs/>
          <w:sz w:val="22"/>
          <w:szCs w:val="22"/>
        </w:rPr>
        <w:t xml:space="preserve">approximately 665 head</w:t>
      </w:r>
      <w:r>
        <w:rPr>
          <w:sz w:val="22"/>
          <w:szCs w:val="22"/>
        </w:rPr>
        <w:t xml:space="preserve"> (up from 230 last week), with </w:t>
      </w:r>
      <w:r>
        <w:rPr>
          <w:b/>
          <w:bCs/>
          <w:sz w:val="22"/>
          <w:szCs w:val="22"/>
        </w:rPr>
        <w:t xml:space="preserve">0 recovered</w:t>
      </w:r>
      <w:r>
        <w:rPr>
          <w:sz w:val="22"/>
          <w:szCs w:val="22"/>
        </w:rPr>
        <w:t xml:space="preserve"> (compared to 140 recovered last week). The fatality rate decreased, with </w:t>
      </w:r>
      <w:r>
        <w:rPr>
          <w:b/>
          <w:bCs/>
          <w:sz w:val="22"/>
          <w:szCs w:val="22"/>
        </w:rPr>
        <w:t xml:space="preserve">2 deaths</w:t>
      </w:r>
      <w:r>
        <w:rPr>
          <w:sz w:val="22"/>
          <w:szCs w:val="22"/>
        </w:rPr>
        <w:t xml:space="preserve"> recorded (down from 3 last week), both from revenge killings in Tonj North. Additionally, </w:t>
      </w:r>
      <w:r>
        <w:rPr>
          <w:b/>
          <w:bCs/>
          <w:sz w:val="22"/>
          <w:szCs w:val="22"/>
        </w:rPr>
        <w:t xml:space="preserve">6 civilians were injured</w:t>
      </w:r>
      <w:r>
        <w:rPr>
          <w:sz w:val="22"/>
          <w:szCs w:val="22"/>
        </w:rPr>
        <w:t xml:space="preserve"> across multiple cattle raiding incidents. The security situation in Kuajok, including the whole of Warrap State, remains relatively calm but unpredictable due to ongoing revenge killings and inter-communal cattle raids. Cross-border incursions from Lakes State, combined with intra-communal revenge attacks, remain the main drivers of insecurity in the state.</w:t>
      </w:r>
    </w:p>
    <w:p>
      <w:pPr>
        <w:spacing w:after="60"/>
      </w:pPr>
      <w:r>
        <w:rPr>
          <w:b/>
          <w:bCs/>
          <w:i/>
          <w:iCs/>
          <w:sz w:val="22"/>
          <w:szCs w:val="22"/>
        </w:rPr>
        <w:t xml:space="preserve">Recommendation:</w:t>
      </w:r>
    </w:p>
    <w:p>
      <w:pPr>
        <w:spacing w:after="240"/>
      </w:pPr>
      <w:r>
        <w:rPr>
          <w:sz w:val="22"/>
          <w:szCs w:val="22"/>
        </w:rPr>
        <w:t xml:space="preserve">The Field Office is recommending continued engagement with the NPS as well as the community. Regular confidence and trust-building patrols, as well as assessing and monitoring human rights violations in line with the mission mandate, are also being done. UNMISS priorities are to focus on engaging in activities to deter violence and protect civilians in their communities by projecting an outward presence in Warrap State; monitor, investigate, and report on human rights violations; encourage free movement of the civilian population; support dialogue and consultations between communities in conflict to reduce tensions; and promote intra- and inter-communal reconciliation. Engagements, visitations, workshops, and meetings with county commissioners, chiefs, women groups, youths, and Senior Police Officers are ongoing. The FO had 00 - SDP/ISDP, 01- LDP/ILDP, 00- IDAP/DAP conducted this week.</w:t>
      </w:r>
    </w:p>
    <w:p>
      <w:pPr>
        <w:spacing w:after="60"/>
      </w:pPr>
      <w:r>
        <w:rPr>
          <w:b/>
          <w:bCs/>
          <w:i/>
          <w:iCs/>
          <w:sz w:val="22"/>
          <w:szCs w:val="22"/>
        </w:rPr>
        <w:t xml:space="preserve">Feedback:</w:t>
      </w:r>
    </w:p>
    <w:p>
      <w:pPr>
        <w:spacing w:after="240"/>
      </w:pPr>
      <w:r>
        <w:rPr>
          <w:sz w:val="22"/>
          <w:szCs w:val="22"/>
        </w:rPr>
        <w:t xml:space="preserve">The working relationship between UNPOL and NPS officers in Warrap State is going on very well. Together, efforts are being made to ensure that the citizens of South Sudan are living in a peaceful environment. The community is also in support of the activities being done by UNMISS in terms of bringing peace back to the community. Several PCRCs have been formed in different Payams, headed by community members, in collaboration with the police. UNPOL and NPS officers are now conducting workshops together as facilitators in different counties, and this has made the two work even closer to each other. All these activities are meant to try and come up with a lasting solution to the challenges affecting the citizens. It is unfortunate that all these efforts being made are not producing much-needed positive results because people have continued killings and attacks, then raiding cattle.</w:t>
      </w:r>
    </w:p>
    <w:p>
      <w:pPr>
        <w:spacing w:after="60"/>
      </w:pPr>
      <w:r>
        <w:rPr>
          <w:b/>
          <w:bCs/>
          <w:sz w:val="22"/>
          <w:szCs w:val="22"/>
          <w:u w:val="single"/>
        </w:rPr>
        <w:t xml:space="preserve">Details of Crime Statistics:</w:t>
      </w:r>
    </w:p>
    <w:p>
      <w:pPr>
        <w:spacing w:after="120"/>
      </w:pPr>
      <w:r>
        <w:rPr>
          <w:b/>
          <w:bCs/>
          <w:sz w:val="22"/>
          <w:szCs w:val="22"/>
        </w:rPr>
        <w:t xml:space="preserve">Murder-02, Rape-02, Cattle Raid-06, Suicide-01, Assault-01</w:t>
      </w:r>
    </w:p>
    <w:p>
      <w:pPr>
        <w:spacing w:after="120"/>
      </w:pPr>
      <w:r>
        <w:rPr>
          <w:sz w:val="22"/>
          <w:szCs w:val="22"/>
        </w:rPr>
        <w:t xml:space="preserve">Regarding GBV/SGBV cases this week, the FO has recorded </w:t>
      </w:r>
      <w:r>
        <w:rPr>
          <w:b/>
          <w:bCs/>
          <w:sz w:val="22"/>
          <w:szCs w:val="22"/>
        </w:rPr>
        <w:t xml:space="preserve">(02)</w:t>
      </w:r>
      <w:r>
        <w:rPr>
          <w:sz w:val="22"/>
          <w:szCs w:val="22"/>
        </w:rPr>
        <w:t xml:space="preserve"> cases.</w:t>
      </w:r>
    </w:p>
    <w:p>
      <w:pPr>
        <w:spacing w:after="240"/>
      </w:pPr>
      <w:r>
        <w:rPr>
          <w:sz w:val="22"/>
          <w:szCs w:val="22"/>
        </w:rPr>
        <w:t xml:space="preserve">This week the FO has recorded a total number of cattle raided: </w:t>
      </w:r>
      <w:r>
        <w:rPr>
          <w:b/>
          <w:bCs/>
          <w:sz w:val="22"/>
          <w:szCs w:val="22"/>
        </w:rPr>
        <w:t xml:space="preserve">(665) cattle raided/theft, and (0) cattle were recovered.</w:t>
      </w:r>
    </w:p>
    <w:p>
      <w:pPr>
        <w:spacing w:before="120" w:after="120"/>
      </w:pPr>
      <w:r>
        <w:rPr>
          <w:b/>
          <w:bCs/>
          <w:sz w:val="22"/>
          <w:szCs w:val="22"/>
          <w:u w:val="single"/>
        </w:rPr>
        <w:t xml:space="preserve">Table 1: CRIME LANDSCAPE DATA TABLE</w:t>
      </w:r>
    </w:p>
    <w:p>
      <w:pPr>
        <w:spacing w:after="120"/>
      </w:pPr>
      <w:r>
        <w:rPr>
          <w:b/>
          <w:bCs/>
          <w:sz w:val="20"/>
          <w:szCs w:val="20"/>
        </w:rPr>
        <w:t xml:space="preserve">Source of information: The extracts are taken from the daily operations situation reports from police stations of 7 days analysed week. The intelligence information was obtained from the interpersonal interaction with the members of the community policing focal point of the NPS; during the week under review, reliable information was obtained as presented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100"/>
        <w:gridCol w:w="100"/>
        <w:gridCol w:w="100"/>
        <w:gridCol w:w="100"/>
        <w:gridCol w:w="100"/>
        <w:gridCol w:w="100"/>
        <w:gridCol w:w="100"/>
        <w:gridCol w:w="100"/>
        <w:gridCol w:w="100"/>
        <w:gridCol w:w="100"/>
        <w:gridCol w:w="100"/>
        <w:gridCol w:w="100"/>
        <w:gridCol w:w="100"/>
        <w:gridCol w:w="100"/>
        <w:gridCol w:w="100"/>
        <w:gridCol w:w="100"/>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LOCATION</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Cattle theft</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Traffic Accident</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Suspected Homicide</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Suicide</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Robbery</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Attempted Murder</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Murder</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Gang Rape</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Sexual Abuse/Rape</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Shooting Incident</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Kidnapping</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Communal Clash</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Cattle Raid</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Elopement</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Attempt cattle raid</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Burglary and theft</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Abduction/kidnapping</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Other Crimes</w:t>
            </w:r>
          </w:p>
        </w:tc>
        <w:tc>
          <w:tcPr>
            <w:tcBorders>
              <w:top w:val="single" w:color="000000" w:sz="1"/>
              <w:left w:val="single" w:color="000000" w:sz="1"/>
              <w:bottom w:val="single" w:color="000000" w:sz="1"/>
              <w:right w:val="single" w:color="000000" w:sz="1"/>
            </w:tcBorders>
            <w:shd w:fill="D9D9D9" w:val="clear"/>
          </w:tcPr>
          <w:p>
            <w:pPr>
              <w:jc w:val="center"/>
            </w:pPr>
            <w:r>
              <w:rPr>
                <w:b/>
                <w:bCs/>
                <w:sz w:val="18"/>
                <w:szCs w:val="18"/>
              </w:rPr>
              <w:t xml:space="preserve">TOTAL</w:t>
            </w:r>
          </w:p>
        </w:tc>
      </w:tr>
      <w:tr>
        <w:tc>
          <w:tcPr>
            <w:tcBorders>
              <w:top w:val="single" w:color="000000" w:sz="1"/>
              <w:left w:val="single" w:color="000000" w:sz="1"/>
              <w:bottom w:val="single" w:color="000000" w:sz="1"/>
              <w:right w:val="single" w:color="000000" w:sz="1"/>
            </w:tcBorders>
          </w:tcPr>
          <w:p>
            <w:pPr>
              <w:jc w:val="center"/>
            </w:pPr>
            <w:r>
              <w:rPr>
                <w:b/>
                <w:bCs/>
                <w:sz w:val="20"/>
                <w:szCs w:val="20"/>
              </w:rPr>
              <w:t xml:space="preserve">KUAJOK FO</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01</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02</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02</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06</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01</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01</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12</w:t>
            </w:r>
          </w:p>
        </w:tc>
      </w:tr>
      <w:tr>
        <w:tc>
          <w:tcPr>
            <w:tcBorders>
              <w:top w:val="single" w:color="000000" w:sz="1"/>
              <w:left w:val="single" w:color="000000" w:sz="1"/>
              <w:bottom w:val="single" w:color="000000" w:sz="1"/>
              <w:right w:val="single" w:color="000000" w:sz="1"/>
            </w:tcBorders>
          </w:tcPr>
          <w:p>
            <w:pPr>
              <w:jc w:val="center"/>
            </w:pPr>
            <w:r>
              <w:rPr>
                <w:b/>
                <w:bCs/>
                <w:sz w:val="20"/>
                <w:szCs w:val="20"/>
              </w:rPr>
              <w:t xml:space="preserve">Last Week</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01</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01</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03</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03</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02</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03</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08</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19</w:t>
            </w:r>
          </w:p>
        </w:tc>
      </w:tr>
      <w:tr>
        <w:tc>
          <w:tcPr>
            <w:tcBorders>
              <w:top w:val="single" w:color="000000" w:sz="1"/>
              <w:left w:val="single" w:color="000000" w:sz="1"/>
              <w:bottom w:val="single" w:color="000000" w:sz="1"/>
              <w:right w:val="single" w:color="000000" w:sz="1"/>
            </w:tcBorders>
          </w:tcPr>
          <w:p>
            <w:pPr>
              <w:jc w:val="center"/>
            </w:pPr>
            <w:r>
              <w:rPr>
                <w:b/>
                <w:bCs/>
                <w:sz w:val="20"/>
                <w:szCs w:val="20"/>
              </w:rPr>
              <w:t xml:space="preserve">% Variance</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-100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-100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+100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-33</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-33</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-100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+100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+100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-88</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-36.8</w:t>
            </w:r>
          </w:p>
        </w:tc>
      </w:tr>
    </w:tbl>
    <w:p>
      <w:pPr>
        <w:spacing w:after="240"/>
      </w:pPr>
      <w:r>
        <w:t xml:space="preserve"/>
      </w:r>
    </w:p>
    <w:p>
      <w:pPr>
        <w:spacing w:after="120"/>
      </w:pPr>
      <w:r>
        <w:rPr>
          <w:b/>
          <w:bCs/>
          <w:sz w:val="22"/>
          <w:szCs w:val="22"/>
          <w:u w:val="single"/>
        </w:rPr>
        <w:t xml:space="preserve">Table 2: ANALYSIS OF INCIDENTS AGAINST UN/UN AGENCIES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100"/>
        <w:gridCol w:w="100"/>
        <w:gridCol w:w="100"/>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UN Entity</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Physical Attacks</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Threats of Violence</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Theft of Property</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Damage to Property</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Total</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Previous Week Total</w:t>
            </w:r>
          </w:p>
        </w:tc>
      </w:tr>
      <w:tr>
        <w:tc>
          <w:tcPr>
            <w:tcBorders>
              <w:top w:val="single" w:color="000000" w:sz="1"/>
              <w:left w:val="single" w:color="000000" w:sz="1"/>
              <w:bottom w:val="single" w:color="000000" w:sz="1"/>
              <w:right w:val="single" w:color="000000" w:sz="1"/>
            </w:tcBorders>
          </w:tcPr>
          <w:p>
            <w:pPr>
              <w:jc w:val="left"/>
            </w:pPr>
            <w:r>
              <w:rPr>
                <w:b w:val="false"/>
                <w:bCs w:val="false"/>
                <w:sz w:val="20"/>
                <w:szCs w:val="20"/>
              </w:rPr>
              <w:t xml:space="preserve">CIVILIAN</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r>
      <w:tr>
        <w:tc>
          <w:tcPr>
            <w:tcBorders>
              <w:top w:val="single" w:color="000000" w:sz="1"/>
              <w:left w:val="single" w:color="000000" w:sz="1"/>
              <w:bottom w:val="single" w:color="000000" w:sz="1"/>
              <w:right w:val="single" w:color="000000" w:sz="1"/>
            </w:tcBorders>
          </w:tcPr>
          <w:p>
            <w:pPr>
              <w:jc w:val="left"/>
            </w:pPr>
            <w:r>
              <w:rPr>
                <w:b w:val="false"/>
                <w:bCs w:val="false"/>
                <w:sz w:val="20"/>
                <w:szCs w:val="20"/>
              </w:rPr>
              <w:t xml:space="preserve">UNPOL</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r>
      <w:tr>
        <w:tc>
          <w:tcPr>
            <w:tcBorders>
              <w:top w:val="single" w:color="000000" w:sz="1"/>
              <w:left w:val="single" w:color="000000" w:sz="1"/>
              <w:bottom w:val="single" w:color="000000" w:sz="1"/>
              <w:right w:val="single" w:color="000000" w:sz="1"/>
            </w:tcBorders>
          </w:tcPr>
          <w:p>
            <w:pPr>
              <w:jc w:val="left"/>
            </w:pPr>
            <w:r>
              <w:rPr>
                <w:b w:val="false"/>
                <w:bCs w:val="false"/>
                <w:sz w:val="20"/>
                <w:szCs w:val="20"/>
              </w:rPr>
              <w:t xml:space="preserve">TCC/MILITARY</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r>
      <w:tr>
        <w:tc>
          <w:tcPr>
            <w:tcBorders>
              <w:top w:val="single" w:color="000000" w:sz="1"/>
              <w:left w:val="single" w:color="000000" w:sz="1"/>
              <w:bottom w:val="single" w:color="000000" w:sz="1"/>
              <w:right w:val="single" w:color="000000" w:sz="1"/>
            </w:tcBorders>
          </w:tcPr>
          <w:p>
            <w:pPr>
              <w:jc w:val="left"/>
            </w:pPr>
            <w:r>
              <w:rPr>
                <w:b w:val="false"/>
                <w:bCs w:val="false"/>
                <w:sz w:val="20"/>
                <w:szCs w:val="20"/>
              </w:rPr>
              <w:t xml:space="preserve">NGO</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r>
      <w:tr>
        <w:tc>
          <w:tcPr>
            <w:tcBorders>
              <w:top w:val="single" w:color="000000" w:sz="1"/>
              <w:left w:val="single" w:color="000000" w:sz="1"/>
              <w:bottom w:val="single" w:color="000000" w:sz="1"/>
              <w:right w:val="single" w:color="000000" w:sz="1"/>
            </w:tcBorders>
          </w:tcPr>
          <w:p>
            <w:pPr>
              <w:jc w:val="left"/>
            </w:pPr>
            <w:r>
              <w:rPr>
                <w:b w:val="false"/>
                <w:bCs w:val="false"/>
                <w:sz w:val="20"/>
                <w:szCs w:val="20"/>
              </w:rPr>
              <w:t xml:space="preserve">CONTRACTED</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r>
      <w:tr>
        <w:tc>
          <w:tcPr>
            <w:tcBorders>
              <w:top w:val="single" w:color="000000" w:sz="1"/>
              <w:left w:val="single" w:color="000000" w:sz="1"/>
              <w:bottom w:val="single" w:color="000000" w:sz="1"/>
              <w:right w:val="single" w:color="000000" w:sz="1"/>
            </w:tcBorders>
          </w:tcPr>
          <w:p>
            <w:pPr>
              <w:jc w:val="left"/>
            </w:pPr>
            <w:r>
              <w:rPr>
                <w:b w:val="false"/>
                <w:bCs w:val="false"/>
                <w:sz w:val="20"/>
                <w:szCs w:val="20"/>
              </w:rPr>
              <w:t xml:space="preserve">UNMISS</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r>
      <w:tr>
        <w:tc>
          <w:tcPr>
            <w:tcBorders>
              <w:top w:val="single" w:color="000000" w:sz="1"/>
              <w:left w:val="single" w:color="000000" w:sz="1"/>
              <w:bottom w:val="single" w:color="000000" w:sz="1"/>
              <w:right w:val="single" w:color="000000" w:sz="1"/>
            </w:tcBorders>
          </w:tcPr>
          <w:p>
            <w:pPr>
              <w:jc w:val="left"/>
            </w:pPr>
            <w:r>
              <w:rPr>
                <w:b/>
                <w:bCs/>
                <w:sz w:val="20"/>
                <w:szCs w:val="20"/>
              </w:rPr>
              <w:t xml:space="preserve">TOTAL</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r>
    </w:tbl>
    <w:p>
      <w:pPr>
        <w:pageBreakBefore/>
      </w:pPr>
      <w:r>
        <w:t xml:space="preserve"/>
      </w:r>
    </w:p>
    <w:p>
      <w:pPr>
        <w:spacing w:after="120"/>
      </w:pPr>
      <w:r>
        <w:rPr>
          <w:b/>
          <w:bCs/>
          <w:sz w:val="22"/>
          <w:szCs w:val="22"/>
          <w:u w:val="single"/>
        </w:rPr>
        <w:t xml:space="preserve">Table 3: ANALYSIS OF REPORTED VIOLENCE AGAINST WOMEN AND CHILDREN INSIDE AND OUTSIDE IDP CAMP</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100"/>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REPORTED CRIMES</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PREVALENCE</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DSR #</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TOTAL</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PREVIOUS WEEK</w:t>
            </w:r>
          </w:p>
        </w:tc>
      </w:tr>
      <w:tr>
        <w:tc>
          <w:tcPr>
            <w:tcBorders>
              <w:top w:val="single" w:color="000000" w:sz="1"/>
              <w:left w:val="single" w:color="000000" w:sz="1"/>
              <w:bottom w:val="single" w:color="000000" w:sz="1"/>
              <w:right w:val="single" w:color="000000" w:sz="1"/>
            </w:tcBorders>
          </w:tcPr>
          <w:p>
            <w:r>
              <w:rPr>
                <w:sz w:val="20"/>
                <w:szCs w:val="20"/>
              </w:rPr>
              <w:t xml:space="preserve">Murder/Attempted Murder</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r>
      <w:tr>
        <w:tc>
          <w:tcPr>
            <w:tcBorders>
              <w:top w:val="single" w:color="000000" w:sz="1"/>
              <w:left w:val="single" w:color="000000" w:sz="1"/>
              <w:bottom w:val="single" w:color="000000" w:sz="1"/>
              <w:right w:val="single" w:color="000000" w:sz="1"/>
            </w:tcBorders>
          </w:tcPr>
          <w:p>
            <w:r>
              <w:rPr>
                <w:sz w:val="20"/>
                <w:szCs w:val="20"/>
              </w:rPr>
              <w:t xml:space="preserve">Unnatural Death</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r>
      <w:tr>
        <w:tc>
          <w:tcPr>
            <w:tcBorders>
              <w:top w:val="single" w:color="000000" w:sz="1"/>
              <w:left w:val="single" w:color="000000" w:sz="1"/>
              <w:bottom w:val="single" w:color="000000" w:sz="1"/>
              <w:right w:val="single" w:color="000000" w:sz="1"/>
            </w:tcBorders>
          </w:tcPr>
          <w:p>
            <w:r>
              <w:rPr>
                <w:sz w:val="20"/>
                <w:szCs w:val="20"/>
              </w:rPr>
              <w:t xml:space="preserve">Gang Rape</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r>
      <w:tr>
        <w:tc>
          <w:tcPr>
            <w:tcBorders>
              <w:top w:val="single" w:color="000000" w:sz="1"/>
              <w:left w:val="single" w:color="000000" w:sz="1"/>
              <w:bottom w:val="single" w:color="000000" w:sz="1"/>
              <w:right w:val="single" w:color="000000" w:sz="1"/>
            </w:tcBorders>
          </w:tcPr>
          <w:p>
            <w:r>
              <w:rPr>
                <w:sz w:val="20"/>
                <w:szCs w:val="20"/>
              </w:rPr>
              <w:t xml:space="preserve">Sexual Assault</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r>
      <w:tr>
        <w:tc>
          <w:tcPr>
            <w:tcBorders>
              <w:top w:val="single" w:color="000000" w:sz="1"/>
              <w:left w:val="single" w:color="000000" w:sz="1"/>
              <w:bottom w:val="single" w:color="000000" w:sz="1"/>
              <w:right w:val="single" w:color="000000" w:sz="1"/>
            </w:tcBorders>
          </w:tcPr>
          <w:p>
            <w:r>
              <w:rPr>
                <w:sz w:val="20"/>
                <w:szCs w:val="20"/>
              </w:rPr>
              <w:t xml:space="preserve">Domestic Violence</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r>
      <w:tr>
        <w:tc>
          <w:tcPr>
            <w:tcBorders>
              <w:top w:val="single" w:color="000000" w:sz="1"/>
              <w:left w:val="single" w:color="000000" w:sz="1"/>
              <w:bottom w:val="single" w:color="000000" w:sz="1"/>
              <w:right w:val="single" w:color="000000" w:sz="1"/>
            </w:tcBorders>
          </w:tcPr>
          <w:p>
            <w:r>
              <w:rPr>
                <w:sz w:val="20"/>
                <w:szCs w:val="20"/>
              </w:rPr>
              <w:t xml:space="preserve">Suspected Homicide</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r>
      <w:tr>
        <w:tc>
          <w:tcPr>
            <w:tcBorders>
              <w:top w:val="single" w:color="000000" w:sz="1"/>
              <w:left w:val="single" w:color="000000" w:sz="1"/>
              <w:bottom w:val="single" w:color="000000" w:sz="1"/>
              <w:right w:val="single" w:color="000000" w:sz="1"/>
            </w:tcBorders>
          </w:tcPr>
          <w:p>
            <w:r>
              <w:rPr>
                <w:sz w:val="20"/>
                <w:szCs w:val="20"/>
              </w:rPr>
              <w:t xml:space="preserve">Shooting Incidence</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r>
      <w:tr>
        <w:tc>
          <w:tcPr>
            <w:tcBorders>
              <w:top w:val="single" w:color="000000" w:sz="1"/>
              <w:left w:val="single" w:color="000000" w:sz="1"/>
              <w:bottom w:val="single" w:color="000000" w:sz="1"/>
              <w:right w:val="single" w:color="000000" w:sz="1"/>
            </w:tcBorders>
          </w:tcPr>
          <w:p>
            <w:r>
              <w:rPr>
                <w:sz w:val="20"/>
                <w:szCs w:val="20"/>
              </w:rPr>
              <w:t xml:space="preserve">Fatal Traffic Accident</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r>
      <w:tr>
        <w:tc>
          <w:tcPr>
            <w:tcBorders>
              <w:top w:val="single" w:color="000000" w:sz="1"/>
              <w:left w:val="single" w:color="000000" w:sz="1"/>
              <w:bottom w:val="single" w:color="000000" w:sz="1"/>
              <w:right w:val="single" w:color="000000" w:sz="1"/>
            </w:tcBorders>
          </w:tcPr>
          <w:p>
            <w:r>
              <w:rPr>
                <w:sz w:val="20"/>
                <w:szCs w:val="20"/>
              </w:rPr>
              <w:t xml:space="preserve">Robbery/ Theft/ Burglary</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r>
      <w:tr>
        <w:tc>
          <w:tcPr>
            <w:tcBorders>
              <w:top w:val="single" w:color="000000" w:sz="1"/>
              <w:left w:val="single" w:color="000000" w:sz="1"/>
              <w:bottom w:val="single" w:color="000000" w:sz="1"/>
              <w:right w:val="single" w:color="000000" w:sz="1"/>
            </w:tcBorders>
          </w:tcPr>
          <w:p>
            <w:r>
              <w:rPr>
                <w:sz w:val="20"/>
                <w:szCs w:val="20"/>
              </w:rPr>
              <w:t xml:space="preserve">Attempted Murder</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r>
      <w:tr>
        <w:tc>
          <w:tcPr>
            <w:tcBorders>
              <w:top w:val="single" w:color="000000" w:sz="1"/>
              <w:left w:val="single" w:color="000000" w:sz="1"/>
              <w:bottom w:val="single" w:color="000000" w:sz="1"/>
              <w:right w:val="single" w:color="000000" w:sz="1"/>
            </w:tcBorders>
          </w:tcPr>
          <w:p>
            <w:r>
              <w:rPr>
                <w:sz w:val="20"/>
                <w:szCs w:val="20"/>
              </w:rPr>
              <w:t xml:space="preserve">Human right violation</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r>
      <w:tr>
        <w:tc>
          <w:tcPr>
            <w:tcBorders>
              <w:top w:val="single" w:color="000000" w:sz="1"/>
              <w:left w:val="single" w:color="000000" w:sz="1"/>
              <w:bottom w:val="single" w:color="000000" w:sz="1"/>
              <w:right w:val="single" w:color="000000" w:sz="1"/>
            </w:tcBorders>
          </w:tcPr>
          <w:p>
            <w:r>
              <w:rPr>
                <w:sz w:val="20"/>
                <w:szCs w:val="20"/>
              </w:rPr>
              <w:t xml:space="preserve">Others</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1</w:t>
            </w:r>
          </w:p>
        </w:tc>
      </w:tr>
      <w:tr>
        <w:tc>
          <w:tcPr>
            <w:tcBorders>
              <w:top w:val="single" w:color="000000" w:sz="1"/>
              <w:left w:val="single" w:color="000000" w:sz="1"/>
              <w:bottom w:val="single" w:color="000000" w:sz="1"/>
              <w:right w:val="single" w:color="000000" w:sz="1"/>
            </w:tcBorders>
          </w:tcPr>
          <w:p>
            <w:r>
              <w:rPr>
                <w:sz w:val="20"/>
                <w:szCs w:val="20"/>
              </w:rPr>
              <w:t xml:space="preserve">Physical violence/Assault</w:t>
            </w:r>
          </w:p>
        </w:tc>
        <w:tc>
          <w:tcPr>
            <w:tcBorders>
              <w:top w:val="single" w:color="000000" w:sz="1"/>
              <w:left w:val="single" w:color="000000" w:sz="1"/>
              <w:bottom w:val="single" w:color="000000" w:sz="1"/>
              <w:right w:val="single" w:color="000000" w:sz="1"/>
            </w:tcBorders>
          </w:tcPr>
          <w:p>
            <w:r>
              <w:rPr>
                <w:sz w:val="18"/>
                <w:szCs w:val="18"/>
              </w:rPr>
              <w:t xml:space="preserve">Traders beaten + herders injured during cattle raids</w:t>
            </w:r>
          </w:p>
        </w:tc>
        <w:tc>
          <w:tcPr>
            <w:tcBorders>
              <w:top w:val="single" w:color="000000" w:sz="1"/>
              <w:left w:val="single" w:color="000000" w:sz="1"/>
              <w:bottom w:val="single" w:color="000000" w:sz="1"/>
              <w:right w:val="single" w:color="000000" w:sz="1"/>
            </w:tcBorders>
          </w:tcPr>
          <w:p>
            <w:r>
              <w:rPr>
                <w:sz w:val="20"/>
                <w:szCs w:val="20"/>
              </w:rPr>
              <w:t xml:space="preserve">326551, 326567, 326998</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6</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2</w:t>
            </w:r>
          </w:p>
        </w:tc>
      </w:tr>
      <w:tr>
        <w:tc>
          <w:tcPr>
            <w:tcBorders>
              <w:top w:val="single" w:color="000000" w:sz="1"/>
              <w:left w:val="single" w:color="000000" w:sz="1"/>
              <w:bottom w:val="single" w:color="000000" w:sz="1"/>
              <w:right w:val="single" w:color="000000" w:sz="1"/>
            </w:tcBorders>
          </w:tcPr>
          <w:p>
            <w:r>
              <w:rPr>
                <w:sz w:val="20"/>
                <w:szCs w:val="20"/>
              </w:rPr>
              <w:t xml:space="preserve">Abduction/Kidnapping</w:t>
            </w:r>
          </w:p>
        </w:tc>
        <w:tc>
          <w:tcPr>
            <w:tcBorders>
              <w:top w:val="single" w:color="000000" w:sz="1"/>
              <w:left w:val="single" w:color="000000" w:sz="1"/>
              <w:bottom w:val="single" w:color="000000" w:sz="1"/>
              <w:right w:val="single" w:color="000000" w:sz="1"/>
            </w:tcBorders>
          </w:tcPr>
          <w:p>
            <w:r>
              <w:rPr>
                <w:sz w:val="18"/>
                <w:szCs w:val="18"/>
              </w:rPr>
              <w:t xml:space="preserve">Juvenile abduction case during cattle raid</w:t>
            </w:r>
          </w:p>
        </w:tc>
        <w:tc>
          <w:tcPr>
            <w:tcBorders>
              <w:top w:val="single" w:color="000000" w:sz="1"/>
              <w:left w:val="single" w:color="000000" w:sz="1"/>
              <w:bottom w:val="single" w:color="000000" w:sz="1"/>
              <w:right w:val="single" w:color="000000" w:sz="1"/>
            </w:tcBorders>
          </w:tcPr>
          <w:p>
            <w:r>
              <w:rPr>
                <w:sz w:val="20"/>
                <w:szCs w:val="20"/>
              </w:rPr>
              <w:t xml:space="preserve">326315</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1</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r>
      <w:tr>
        <w:tc>
          <w:tcPr>
            <w:tcBorders>
              <w:top w:val="single" w:color="000000" w:sz="1"/>
              <w:left w:val="single" w:color="000000" w:sz="1"/>
              <w:bottom w:val="single" w:color="000000" w:sz="1"/>
              <w:right w:val="single" w:color="000000" w:sz="1"/>
            </w:tcBorders>
          </w:tcPr>
          <w:p>
            <w:r>
              <w:rPr>
                <w:sz w:val="20"/>
                <w:szCs w:val="20"/>
              </w:rPr>
              <w:t xml:space="preserve">Rape</w:t>
            </w:r>
          </w:p>
        </w:tc>
        <w:tc>
          <w:tcPr>
            <w:tcBorders>
              <w:top w:val="single" w:color="000000" w:sz="1"/>
              <w:left w:val="single" w:color="000000" w:sz="1"/>
              <w:bottom w:val="single" w:color="000000" w:sz="1"/>
              <w:right w:val="single" w:color="000000" w:sz="1"/>
            </w:tcBorders>
          </w:tcPr>
          <w:p>
            <w:r>
              <w:rPr>
                <w:sz w:val="18"/>
                <w:szCs w:val="18"/>
              </w:rPr>
              <w:t xml:space="preserve">Two rape cases involving victims aged 19 and 25 years, perpetrators aged 17 and 19 years</w:t>
            </w:r>
          </w:p>
        </w:tc>
        <w:tc>
          <w:tcPr>
            <w:tcBorders>
              <w:top w:val="single" w:color="000000" w:sz="1"/>
              <w:left w:val="single" w:color="000000" w:sz="1"/>
              <w:bottom w:val="single" w:color="000000" w:sz="1"/>
              <w:right w:val="single" w:color="000000" w:sz="1"/>
            </w:tcBorders>
          </w:tcPr>
          <w:p>
            <w:r>
              <w:rPr>
                <w:sz w:val="20"/>
                <w:szCs w:val="20"/>
              </w:rPr>
              <w:t xml:space="preserve">326630, 326633</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2</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3</w:t>
            </w:r>
          </w:p>
        </w:tc>
      </w:tr>
      <w:tr>
        <w:tc>
          <w:tcPr>
            <w:tcBorders>
              <w:top w:val="single" w:color="000000" w:sz="1"/>
              <w:left w:val="single" w:color="000000" w:sz="1"/>
              <w:bottom w:val="single" w:color="000000" w:sz="1"/>
              <w:right w:val="single" w:color="000000" w:sz="1"/>
            </w:tcBorders>
          </w:tcPr>
          <w:p>
            <w:r>
              <w:rPr>
                <w:sz w:val="20"/>
                <w:szCs w:val="20"/>
              </w:rPr>
              <w:t xml:space="preserve">Suicide</w:t>
            </w:r>
          </w:p>
        </w:tc>
        <w:tc>
          <w:tcPr>
            <w:tcBorders>
              <w:top w:val="single" w:color="000000" w:sz="1"/>
              <w:left w:val="single" w:color="000000" w:sz="1"/>
              <w:bottom w:val="single" w:color="000000" w:sz="1"/>
              <w:right w:val="single" w:color="000000" w:sz="1"/>
            </w:tcBorders>
          </w:tcPr>
          <w:p>
            <w:r>
              <w:rPr>
                <w:sz w:val="18"/>
                <w:szCs w:val="18"/>
              </w:rPr>
              <w:t xml:space="preserve">Juvenile suicide case - 15-year-old male</w:t>
            </w:r>
          </w:p>
        </w:tc>
        <w:tc>
          <w:tcPr>
            <w:tcBorders>
              <w:top w:val="single" w:color="000000" w:sz="1"/>
              <w:left w:val="single" w:color="000000" w:sz="1"/>
              <w:bottom w:val="single" w:color="000000" w:sz="1"/>
              <w:right w:val="single" w:color="000000" w:sz="1"/>
            </w:tcBorders>
          </w:tcPr>
          <w:p>
            <w:r>
              <w:rPr>
                <w:sz w:val="20"/>
                <w:szCs w:val="20"/>
              </w:rPr>
              <w:t xml:space="preserve">326627</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1</w:t>
            </w:r>
          </w:p>
        </w:tc>
        <w:tc>
          <w:tcPr>
            <w:tcBorders>
              <w:top w:val="single" w:color="000000" w:sz="1"/>
              <w:left w:val="single" w:color="000000" w:sz="1"/>
              <w:bottom w:val="single" w:color="000000" w:sz="1"/>
              <w:right w:val="single" w:color="000000" w:sz="1"/>
            </w:tcBorders>
          </w:tcPr>
          <w:p>
            <w:pPr>
              <w:jc w:val="center"/>
            </w:pPr>
            <w:r>
              <w:rPr>
                <w:b/>
                <w:bCs/>
                <w:sz w:val="20"/>
                <w:szCs w:val="20"/>
              </w:rPr>
              <w:t xml:space="preserve">0</w:t>
            </w:r>
          </w:p>
        </w:tc>
      </w:tr>
      <w:tr>
        <w:tc>
          <w:tcPr>
            <w:tcBorders>
              <w:top w:val="single" w:color="000000" w:sz="1"/>
              <w:left w:val="single" w:color="000000" w:sz="1"/>
              <w:bottom w:val="single" w:color="000000" w:sz="1"/>
              <w:right w:val="single" w:color="000000" w:sz="1"/>
            </w:tcBorders>
            <w:shd w:fill="D9D9D9" w:val="clear"/>
          </w:tcPr>
          <w:p>
            <w:r>
              <w:rPr>
                <w:b/>
                <w:bCs/>
                <w:sz w:val="20"/>
                <w:szCs w:val="20"/>
              </w:rPr>
              <w:t xml:space="preserve">Total</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10</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6</w:t>
            </w:r>
          </w:p>
        </w:tc>
      </w:tr>
    </w:tbl>
    <w:p>
      <w:pPr>
        <w:spacing w:after="240"/>
      </w:pPr>
      <w:r>
        <w:t xml:space="preserve"/>
      </w:r>
    </w:p>
    <w:p>
      <w:pPr>
        <w:spacing w:after="120"/>
      </w:pPr>
      <w:r>
        <w:rPr>
          <w:b/>
          <w:bCs/>
          <w:sz w:val="22"/>
          <w:szCs w:val="22"/>
          <w:u w:val="single"/>
        </w:rPr>
        <w:t xml:space="preserve">Table 4: TIMING FOR REPORTED SERIOUS CRIMES IN KUAJOK FO.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100"/>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Period of the day</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Duration</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Prevalence (Number of Cases)</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Percentage of total (%)</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Comments</w:t>
            </w:r>
          </w:p>
        </w:tc>
      </w:tr>
      <w:tr>
        <w:tc>
          <w:tcPr>
            <w:tcBorders>
              <w:top w:val="single" w:color="000000" w:sz="1"/>
              <w:left w:val="single" w:color="000000" w:sz="1"/>
              <w:bottom w:val="single" w:color="000000" w:sz="1"/>
              <w:right w:val="single" w:color="000000" w:sz="1"/>
            </w:tcBorders>
          </w:tcPr>
          <w:p>
            <w:r>
              <w:rPr>
                <w:b/>
                <w:bCs/>
                <w:sz w:val="20"/>
                <w:szCs w:val="20"/>
              </w:rPr>
              <w:t xml:space="preserve">1st Quarter</w:t>
            </w:r>
          </w:p>
        </w:tc>
        <w:tc>
          <w:tcPr>
            <w:tcBorders>
              <w:top w:val="single" w:color="000000" w:sz="1"/>
              <w:left w:val="single" w:color="000000" w:sz="1"/>
              <w:bottom w:val="single" w:color="000000" w:sz="1"/>
              <w:right w:val="single" w:color="000000" w:sz="1"/>
            </w:tcBorders>
          </w:tcPr>
          <w:p>
            <w:r>
              <w:rPr>
                <w:sz w:val="20"/>
                <w:szCs w:val="20"/>
              </w:rPr>
              <w:t xml:space="preserve">00:00 to 05:59</w:t>
            </w:r>
          </w:p>
        </w:tc>
        <w:tc>
          <w:tcPr>
            <w:tcBorders>
              <w:top w:val="single" w:color="000000" w:sz="1"/>
              <w:left w:val="single" w:color="000000" w:sz="1"/>
              <w:bottom w:val="single" w:color="000000" w:sz="1"/>
              <w:right w:val="single" w:color="000000" w:sz="1"/>
            </w:tcBorders>
          </w:tcPr>
          <w:p>
            <w:pPr>
              <w:jc w:val="center"/>
            </w:pPr>
            <w:r>
              <w:rPr>
                <w:sz w:val="20"/>
                <w:szCs w:val="20"/>
              </w:rPr>
              <w:t xml:space="preserve">01</w:t>
            </w:r>
          </w:p>
        </w:tc>
        <w:tc>
          <w:tcPr>
            <w:tcBorders>
              <w:top w:val="single" w:color="000000" w:sz="1"/>
              <w:left w:val="single" w:color="000000" w:sz="1"/>
              <w:bottom w:val="single" w:color="000000" w:sz="1"/>
              <w:right w:val="single" w:color="000000" w:sz="1"/>
            </w:tcBorders>
          </w:tcPr>
          <w:p>
            <w:pPr>
              <w:jc w:val="center"/>
            </w:pPr>
            <w:r>
              <w:rPr>
                <w:sz w:val="20"/>
                <w:szCs w:val="20"/>
              </w:rPr>
              <w:t xml:space="preserve">8%</w:t>
            </w:r>
          </w:p>
        </w:tc>
        <w:tc>
          <w:tcPr>
            <w:tcBorders>
              <w:top w:val="single" w:color="000000" w:sz="1"/>
              <w:left w:val="single" w:color="000000" w:sz="1"/>
              <w:bottom w:val="single" w:color="000000" w:sz="1"/>
              <w:right w:val="single" w:color="000000" w:sz="1"/>
            </w:tcBorders>
          </w:tcPr>
          <w:p>
            <w:r>
              <w:rPr>
                <w:sz w:val="18"/>
                <w:szCs w:val="18"/>
              </w:rPr>
              <w:t xml:space="preserve">This week the FO has recorded (12) major cases: (01) case in first quarter showing dawn attacks, (01) case in second quarter, (04) cases in third quarter, (00) cases in fourth quarter, and (06) cases where time is not mentioned.</w:t>
            </w:r>
          </w:p>
        </w:tc>
      </w:tr>
      <w:tr>
        <w:tc>
          <w:tcPr>
            <w:tcBorders>
              <w:top w:val="single" w:color="000000" w:sz="1"/>
              <w:left w:val="single" w:color="000000" w:sz="1"/>
              <w:bottom w:val="single" w:color="000000" w:sz="1"/>
              <w:right w:val="single" w:color="000000" w:sz="1"/>
            </w:tcBorders>
          </w:tcPr>
          <w:p>
            <w:r>
              <w:rPr>
                <w:b/>
                <w:bCs/>
                <w:sz w:val="20"/>
                <w:szCs w:val="20"/>
              </w:rPr>
              <w:t xml:space="preserve">2nd Quarter</w:t>
            </w:r>
          </w:p>
        </w:tc>
        <w:tc>
          <w:tcPr>
            <w:tcBorders>
              <w:top w:val="single" w:color="000000" w:sz="1"/>
              <w:left w:val="single" w:color="000000" w:sz="1"/>
              <w:bottom w:val="single" w:color="000000" w:sz="1"/>
              <w:right w:val="single" w:color="000000" w:sz="1"/>
            </w:tcBorders>
          </w:tcPr>
          <w:p>
            <w:r>
              <w:rPr>
                <w:sz w:val="20"/>
                <w:szCs w:val="20"/>
              </w:rPr>
              <w:t xml:space="preserve">06:00 to 11:59</w:t>
            </w:r>
          </w:p>
        </w:tc>
        <w:tc>
          <w:tcPr>
            <w:tcBorders>
              <w:top w:val="single" w:color="000000" w:sz="1"/>
              <w:left w:val="single" w:color="000000" w:sz="1"/>
              <w:bottom w:val="single" w:color="000000" w:sz="1"/>
              <w:right w:val="single" w:color="000000" w:sz="1"/>
            </w:tcBorders>
          </w:tcPr>
          <w:p>
            <w:pPr>
              <w:jc w:val="center"/>
            </w:pPr>
            <w:r>
              <w:rPr>
                <w:sz w:val="20"/>
                <w:szCs w:val="20"/>
              </w:rPr>
              <w:t xml:space="preserve">01</w:t>
            </w:r>
          </w:p>
        </w:tc>
        <w:tc>
          <w:tcPr>
            <w:tcBorders>
              <w:top w:val="single" w:color="000000" w:sz="1"/>
              <w:left w:val="single" w:color="000000" w:sz="1"/>
              <w:bottom w:val="single" w:color="000000" w:sz="1"/>
              <w:right w:val="single" w:color="000000" w:sz="1"/>
            </w:tcBorders>
          </w:tcPr>
          <w:p>
            <w:pPr>
              <w:jc w:val="center"/>
            </w:pPr>
            <w:r>
              <w:rPr>
                <w:sz w:val="20"/>
                <w:szCs w:val="20"/>
              </w:rPr>
              <w:t xml:space="preserve">8%</w:t>
            </w:r>
          </w:p>
        </w:tc>
        <w:tc>
          <w:tcPr>
            <w:tcBorders>
              <w:top w:val="single" w:color="000000" w:sz="1"/>
              <w:left w:val="single" w:color="000000" w:sz="1"/>
              <w:bottom w:val="single" w:color="000000" w:sz="1"/>
              <w:right w:val="single" w:color="000000" w:sz="1"/>
            </w:tcBorders>
          </w:tcPr>
          <w:p>
            <w:r>
              <w:rPr>
                <w:sz w:val="20"/>
                <w:szCs w:val="20"/>
              </w:rPr>
              <w:t xml:space="preserve"/>
            </w:r>
          </w:p>
        </w:tc>
      </w:tr>
      <w:tr>
        <w:tc>
          <w:tcPr>
            <w:tcBorders>
              <w:top w:val="single" w:color="000000" w:sz="1"/>
              <w:left w:val="single" w:color="000000" w:sz="1"/>
              <w:bottom w:val="single" w:color="000000" w:sz="1"/>
              <w:right w:val="single" w:color="000000" w:sz="1"/>
            </w:tcBorders>
          </w:tcPr>
          <w:p>
            <w:r>
              <w:rPr>
                <w:b/>
                <w:bCs/>
                <w:sz w:val="20"/>
                <w:szCs w:val="20"/>
              </w:rPr>
              <w:t xml:space="preserve">3rd Quarter</w:t>
            </w:r>
          </w:p>
        </w:tc>
        <w:tc>
          <w:tcPr>
            <w:tcBorders>
              <w:top w:val="single" w:color="000000" w:sz="1"/>
              <w:left w:val="single" w:color="000000" w:sz="1"/>
              <w:bottom w:val="single" w:color="000000" w:sz="1"/>
              <w:right w:val="single" w:color="000000" w:sz="1"/>
            </w:tcBorders>
          </w:tcPr>
          <w:p>
            <w:r>
              <w:rPr>
                <w:sz w:val="20"/>
                <w:szCs w:val="20"/>
              </w:rPr>
              <w:t xml:space="preserve">12:00 to 17:59</w:t>
            </w:r>
          </w:p>
        </w:tc>
        <w:tc>
          <w:tcPr>
            <w:tcBorders>
              <w:top w:val="single" w:color="000000" w:sz="1"/>
              <w:left w:val="single" w:color="000000" w:sz="1"/>
              <w:bottom w:val="single" w:color="000000" w:sz="1"/>
              <w:right w:val="single" w:color="000000" w:sz="1"/>
            </w:tcBorders>
          </w:tcPr>
          <w:p>
            <w:pPr>
              <w:jc w:val="center"/>
            </w:pPr>
            <w:r>
              <w:rPr>
                <w:sz w:val="20"/>
                <w:szCs w:val="20"/>
              </w:rPr>
              <w:t xml:space="preserve">04</w:t>
            </w:r>
          </w:p>
        </w:tc>
        <w:tc>
          <w:tcPr>
            <w:tcBorders>
              <w:top w:val="single" w:color="000000" w:sz="1"/>
              <w:left w:val="single" w:color="000000" w:sz="1"/>
              <w:bottom w:val="single" w:color="000000" w:sz="1"/>
              <w:right w:val="single" w:color="000000" w:sz="1"/>
            </w:tcBorders>
          </w:tcPr>
          <w:p>
            <w:pPr>
              <w:jc w:val="center"/>
            </w:pPr>
            <w:r>
              <w:rPr>
                <w:sz w:val="20"/>
                <w:szCs w:val="20"/>
              </w:rPr>
              <w:t xml:space="preserve">33%</w:t>
            </w:r>
          </w:p>
        </w:tc>
        <w:tc>
          <w:tcPr>
            <w:tcBorders>
              <w:top w:val="single" w:color="000000" w:sz="1"/>
              <w:left w:val="single" w:color="000000" w:sz="1"/>
              <w:bottom w:val="single" w:color="000000" w:sz="1"/>
              <w:right w:val="single" w:color="000000" w:sz="1"/>
            </w:tcBorders>
          </w:tcPr>
          <w:p>
            <w:r>
              <w:rPr>
                <w:sz w:val="20"/>
                <w:szCs w:val="20"/>
              </w:rPr>
              <w:t xml:space="preserve"/>
            </w:r>
          </w:p>
        </w:tc>
      </w:tr>
      <w:tr>
        <w:tc>
          <w:tcPr>
            <w:tcBorders>
              <w:top w:val="single" w:color="000000" w:sz="1"/>
              <w:left w:val="single" w:color="000000" w:sz="1"/>
              <w:bottom w:val="single" w:color="000000" w:sz="1"/>
              <w:right w:val="single" w:color="000000" w:sz="1"/>
            </w:tcBorders>
          </w:tcPr>
          <w:p>
            <w:r>
              <w:rPr>
                <w:b/>
                <w:bCs/>
                <w:sz w:val="20"/>
                <w:szCs w:val="20"/>
              </w:rPr>
              <w:t xml:space="preserve">4th Quarter</w:t>
            </w:r>
          </w:p>
        </w:tc>
        <w:tc>
          <w:tcPr>
            <w:tcBorders>
              <w:top w:val="single" w:color="000000" w:sz="1"/>
              <w:left w:val="single" w:color="000000" w:sz="1"/>
              <w:bottom w:val="single" w:color="000000" w:sz="1"/>
              <w:right w:val="single" w:color="000000" w:sz="1"/>
            </w:tcBorders>
          </w:tcPr>
          <w:p>
            <w:r>
              <w:rPr>
                <w:sz w:val="20"/>
                <w:szCs w:val="20"/>
              </w:rPr>
              <w:t xml:space="preserve">18:00 to 23:59</w:t>
            </w:r>
          </w:p>
        </w:tc>
        <w:tc>
          <w:tcPr>
            <w:tcBorders>
              <w:top w:val="single" w:color="000000" w:sz="1"/>
              <w:left w:val="single" w:color="000000" w:sz="1"/>
              <w:bottom w:val="single" w:color="000000" w:sz="1"/>
              <w:right w:val="single" w:color="000000" w:sz="1"/>
            </w:tcBorders>
          </w:tcPr>
          <w:p>
            <w:pPr>
              <w:jc w:val="center"/>
            </w:pPr>
            <w:r>
              <w:rPr>
                <w:sz w:val="20"/>
                <w:szCs w:val="20"/>
              </w:rPr>
              <w:t xml:space="preserve">00</w:t>
            </w:r>
          </w:p>
        </w:tc>
        <w:tc>
          <w:tcPr>
            <w:tcBorders>
              <w:top w:val="single" w:color="000000" w:sz="1"/>
              <w:left w:val="single" w:color="000000" w:sz="1"/>
              <w:bottom w:val="single" w:color="000000" w:sz="1"/>
              <w:right w:val="single" w:color="000000" w:sz="1"/>
            </w:tcBorders>
          </w:tcPr>
          <w:p>
            <w:pPr>
              <w:jc w:val="center"/>
            </w:pPr>
            <w:r>
              <w:rPr>
                <w:sz w:val="20"/>
                <w:szCs w:val="20"/>
              </w:rPr>
              <w:t xml:space="preserve">0%</w:t>
            </w:r>
          </w:p>
        </w:tc>
        <w:tc>
          <w:tcPr>
            <w:tcBorders>
              <w:top w:val="single" w:color="000000" w:sz="1"/>
              <w:left w:val="single" w:color="000000" w:sz="1"/>
              <w:bottom w:val="single" w:color="000000" w:sz="1"/>
              <w:right w:val="single" w:color="000000" w:sz="1"/>
            </w:tcBorders>
          </w:tcPr>
          <w:p>
            <w:r>
              <w:rPr>
                <w:sz w:val="20"/>
                <w:szCs w:val="20"/>
              </w:rPr>
              <w:t xml:space="preserve"/>
            </w:r>
          </w:p>
        </w:tc>
      </w:tr>
      <w:tr>
        <w:tc>
          <w:tcPr>
            <w:tcBorders>
              <w:top w:val="single" w:color="000000" w:sz="1"/>
              <w:left w:val="single" w:color="000000" w:sz="1"/>
              <w:bottom w:val="single" w:color="000000" w:sz="1"/>
              <w:right w:val="single" w:color="000000" w:sz="1"/>
            </w:tcBorders>
          </w:tcPr>
          <w:p>
            <w:r>
              <w:rPr>
                <w:b/>
                <w:bCs/>
                <w:sz w:val="20"/>
                <w:szCs w:val="20"/>
              </w:rPr>
              <w:t xml:space="preserve">TIME NOT PROVIDED</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tcPr>
          <w:p>
            <w:pPr>
              <w:jc w:val="center"/>
            </w:pPr>
            <w:r>
              <w:rPr>
                <w:sz w:val="20"/>
                <w:szCs w:val="20"/>
              </w:rPr>
              <w:t xml:space="preserve">06</w:t>
            </w:r>
          </w:p>
        </w:tc>
        <w:tc>
          <w:tcPr>
            <w:tcBorders>
              <w:top w:val="single" w:color="000000" w:sz="1"/>
              <w:left w:val="single" w:color="000000" w:sz="1"/>
              <w:bottom w:val="single" w:color="000000" w:sz="1"/>
              <w:right w:val="single" w:color="000000" w:sz="1"/>
            </w:tcBorders>
          </w:tcPr>
          <w:p>
            <w:pPr>
              <w:jc w:val="center"/>
            </w:pPr>
            <w:r>
              <w:rPr>
                <w:sz w:val="20"/>
                <w:szCs w:val="20"/>
              </w:rPr>
              <w:t xml:space="preserve">50%</w:t>
            </w:r>
          </w:p>
        </w:tc>
        <w:tc>
          <w:tcPr>
            <w:tcBorders>
              <w:top w:val="single" w:color="000000" w:sz="1"/>
              <w:left w:val="single" w:color="000000" w:sz="1"/>
              <w:bottom w:val="single" w:color="000000" w:sz="1"/>
              <w:right w:val="single" w:color="000000" w:sz="1"/>
            </w:tcBorders>
          </w:tcPr>
          <w:p>
            <w:r>
              <w:rPr>
                <w:sz w:val="20"/>
                <w:szCs w:val="20"/>
              </w:rPr>
              <w:t xml:space="preserve"/>
            </w:r>
          </w:p>
        </w:tc>
      </w:tr>
      <w:tr>
        <w:tc>
          <w:tcPr>
            <w:tcBorders>
              <w:top w:val="single" w:color="000000" w:sz="1"/>
              <w:left w:val="single" w:color="000000" w:sz="1"/>
              <w:bottom w:val="single" w:color="000000" w:sz="1"/>
              <w:right w:val="single" w:color="000000" w:sz="1"/>
            </w:tcBorders>
            <w:shd w:fill="D9D9D9" w:val="clear"/>
          </w:tcPr>
          <w:p>
            <w:r>
              <w:rPr>
                <w:b/>
                <w:bCs/>
                <w:sz w:val="20"/>
                <w:szCs w:val="20"/>
              </w:rPr>
              <w:t xml:space="preserve">TOTAL</w:t>
            </w:r>
          </w:p>
        </w:tc>
        <w:tc>
          <w:tcPr>
            <w:tcBorders>
              <w:top w:val="single" w:color="000000" w:sz="1"/>
              <w:left w:val="single" w:color="000000" w:sz="1"/>
              <w:bottom w:val="single" w:color="000000" w:sz="1"/>
              <w:right w:val="single" w:color="000000" w:sz="1"/>
            </w:tcBorders>
          </w:tcPr>
          <w:p>
            <w:r>
              <w:rPr>
                <w:sz w:val="20"/>
                <w:szCs w:val="20"/>
              </w:rPr>
              <w:t xml:space="preserve"/>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12</w:t>
            </w:r>
          </w:p>
        </w:tc>
        <w:tc>
          <w:tcPr>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100%</w:t>
            </w:r>
          </w:p>
        </w:tc>
        <w:tc>
          <w:tcPr>
            <w:tcBorders>
              <w:top w:val="single" w:color="000000" w:sz="1"/>
              <w:left w:val="single" w:color="000000" w:sz="1"/>
              <w:bottom w:val="single" w:color="000000" w:sz="1"/>
              <w:right w:val="single" w:color="000000" w:sz="1"/>
            </w:tcBorders>
          </w:tcPr>
          <w:p>
            <w:r>
              <w:rPr>
                <w:sz w:val="20"/>
                <w:szCs w:val="20"/>
              </w:rPr>
              <w:t xml:space="preserve"/>
            </w:r>
          </w:p>
        </w:tc>
      </w:tr>
    </w:tbl>
    <w:p>
      <w:pPr>
        <w:pageBreakBefore/>
      </w:pPr>
      <w:r>
        <w:t xml:space="preserve"/>
      </w:r>
    </w:p>
    <w:p>
      <w:pPr>
        <w:spacing w:before="120" w:after="120"/>
      </w:pPr>
      <w:r>
        <w:rPr>
          <w:b/>
          <w:bCs/>
          <w:sz w:val="22"/>
          <w:szCs w:val="22"/>
          <w:u w:val="single"/>
        </w:rPr>
        <w:t xml:space="preserve">PERPETRATOR AND VICTIM ANALYSIS</w:t>
      </w:r>
    </w:p>
    <w:p>
      <w:pPr>
        <w:spacing w:after="120"/>
      </w:pPr>
      <w:r>
        <w:rPr>
          <w:sz w:val="22"/>
          <w:szCs w:val="22"/>
        </w:rPr>
        <w:t xml:space="preserve">Between </w:t>
      </w:r>
      <w:r>
        <w:rPr>
          <w:b/>
          <w:bCs/>
          <w:sz w:val="22"/>
          <w:szCs w:val="22"/>
        </w:rPr>
        <w:t xml:space="preserve">10th October - 16th October 2025</w:t>
      </w:r>
      <w:r>
        <w:rPr>
          <w:sz w:val="22"/>
          <w:szCs w:val="22"/>
        </w:rPr>
        <w:t xml:space="preserve">, (08) victims were recorded in Warrap State, out of which (07) were male representing (88%), and (01) was female representing (12%).</w:t>
      </w:r>
    </w:p>
    <w:p>
      <w:pPr>
        <w:spacing w:after="120"/>
      </w:pPr>
      <w:r>
        <w:rPr>
          <w:sz w:val="22"/>
          <w:szCs w:val="22"/>
        </w:rPr>
        <w:t xml:space="preserve">During the week under review </w:t>
      </w:r>
      <w:r>
        <w:rPr>
          <w:b/>
          <w:bCs/>
          <w:sz w:val="22"/>
          <w:szCs w:val="22"/>
        </w:rPr>
        <w:t xml:space="preserve">10th October - 16th October 2025</w:t>
      </w:r>
      <w:r>
        <w:rPr>
          <w:sz w:val="22"/>
          <w:szCs w:val="22"/>
        </w:rPr>
        <w:t xml:space="preserve">, a total of (estimated 35-45) perpetrators were involved, predominantly male representing (98%), and (02) were females representing (2%).</w:t>
      </w:r>
    </w:p>
    <w:p>
      <w:pPr>
        <w:spacing w:after="240"/>
      </w:pPr>
      <w:r>
        <w:rPr>
          <w:sz w:val="22"/>
          <w:szCs w:val="22"/>
        </w:rPr>
        <w:t xml:space="preserve">This Week from </w:t>
      </w:r>
      <w:r>
        <w:rPr>
          <w:b/>
          <w:bCs/>
          <w:sz w:val="22"/>
          <w:szCs w:val="22"/>
        </w:rPr>
        <w:t xml:space="preserve">10th October - 16th October 2025</w:t>
      </w:r>
      <w:r>
        <w:rPr>
          <w:sz w:val="22"/>
          <w:szCs w:val="22"/>
        </w:rPr>
        <w:t xml:space="preserve">, prolonged detention cases were monitored across various police stations during MMA activities.</w:t>
      </w:r>
    </w:p>
    <w:p>
      <w:pPr>
        <w:spacing w:after="120"/>
      </w:pPr>
      <w:r>
        <w:rPr>
          <w:b/>
          <w:bCs/>
          <w:sz w:val="24"/>
          <w:szCs w:val="24"/>
          <w:u w:val="single"/>
        </w:rPr>
        <w:t xml:space="preserve">KUAJOK: Crimes with Full Narratives</w:t>
      </w:r>
    </w:p>
    <w:p>
      <w:pPr>
        <w:spacing w:before="120" w:after="60"/>
      </w:pPr>
      <w:r>
        <w:rPr>
          <w:b/>
          <w:bCs/>
          <w:sz w:val="22"/>
          <w:szCs w:val="22"/>
        </w:rPr>
        <w:t xml:space="preserve">1. CATTLE RAID IN TONJ EAST (RETALIATORY)</w:t>
      </w:r>
    </w:p>
    <w:p>
      <w:pPr>
        <w:spacing w:after="120"/>
      </w:pPr>
      <w:r>
        <w:rPr>
          <w:sz w:val="22"/>
          <w:szCs w:val="22"/>
        </w:rPr>
        <w:t xml:space="preserve">On 9–10 October 2025, armed youths from the Jalwau community in Wunlit Payam conducted retaliatory raids against the Luanyjang and Thiik communities in Rum-Athian village, Palieng Payam, Tonj East County. The attack was in revenge for previous cattle thefts by Luanyjang youths, resulting in the theft of approximately 500 cattle. A juvenile boy attending to cattle was abducted and later released unharmed. The raiders tied down boys in several kraals to prevent resistance. No casualties were reported, but tension remains high between the rival groups.</w:t>
      </w:r>
    </w:p>
    <w:p>
      <w:pPr>
        <w:spacing w:after="120"/>
      </w:pPr>
      <w:r>
        <w:rPr>
          <w:b/>
          <w:bCs/>
          <w:sz w:val="20"/>
          <w:szCs w:val="20"/>
        </w:rPr>
        <w:t xml:space="preserve">SOURCE: FIOC DSR SAGE No.: 326315</w:t>
      </w:r>
    </w:p>
    <w:p>
      <w:pPr>
        <w:spacing w:before="120" w:after="60"/>
      </w:pPr>
      <w:r>
        <w:rPr>
          <w:b/>
          <w:bCs/>
          <w:sz w:val="22"/>
          <w:szCs w:val="22"/>
        </w:rPr>
        <w:t xml:space="preserve">2. RAPE CASE IN GOGRIAL WEST (FACEBOOK ENCOUNTER)</w:t>
      </w:r>
    </w:p>
    <w:p>
      <w:pPr>
        <w:spacing w:after="120"/>
      </w:pPr>
      <w:r>
        <w:rPr>
          <w:sz w:val="22"/>
          <w:szCs w:val="22"/>
        </w:rPr>
        <w:t xml:space="preserve">On 13 October 2025 at around 08:30 hrs, a 19-year-old female was raped by Ayok Manyang Riak (17) after the two met on Facebook and arranged to meet in person. The case was reported by the victim's father, Athuei Wol Ariech, to the SPU, Kuajok Police Station.</w:t>
      </w:r>
    </w:p>
    <w:p>
      <w:pPr>
        <w:spacing w:after="120"/>
      </w:pPr>
      <w:r>
        <w:rPr>
          <w:b/>
          <w:bCs/>
          <w:sz w:val="20"/>
          <w:szCs w:val="20"/>
        </w:rPr>
        <w:t xml:space="preserve">SOURCE: UNPOL DSR SAGE No.: 326630</w:t>
      </w:r>
    </w:p>
    <w:p>
      <w:pPr>
        <w:spacing w:before="120" w:after="60"/>
      </w:pPr>
      <w:r>
        <w:rPr>
          <w:b/>
          <w:bCs/>
          <w:sz w:val="22"/>
          <w:szCs w:val="22"/>
        </w:rPr>
        <w:t xml:space="preserve">3. RAPE CASE IN GOGRIAL WEST (ROADSIDE ASSAULT)</w:t>
      </w:r>
    </w:p>
    <w:p>
      <w:pPr>
        <w:spacing w:after="120"/>
      </w:pPr>
      <w:r>
        <w:rPr>
          <w:sz w:val="22"/>
          <w:szCs w:val="22"/>
        </w:rPr>
        <w:t xml:space="preserve">On 9 October 2025, a 25-year-old female was raped by Wol Ayiil Madut (19) while returning home from the hospital. Neighbors responded to her calls for help; the suspect fled but was later arrested after assaulting another male. The case was reported to SPU, Kuajok Police Station on 13 October 2025.</w:t>
      </w:r>
    </w:p>
    <w:p>
      <w:pPr>
        <w:spacing w:after="120"/>
      </w:pPr>
      <w:r>
        <w:rPr>
          <w:b/>
          <w:bCs/>
          <w:sz w:val="20"/>
          <w:szCs w:val="20"/>
        </w:rPr>
        <w:t xml:space="preserve">SOURCE: UNPOL DSR SAGE No.: 326633</w:t>
      </w:r>
    </w:p>
    <w:p>
      <w:pPr>
        <w:spacing w:before="120" w:after="60"/>
      </w:pPr>
      <w:r>
        <w:rPr>
          <w:b/>
          <w:bCs/>
          <w:sz w:val="22"/>
          <w:szCs w:val="22"/>
        </w:rPr>
        <w:t xml:space="preserve">4. CATTLE RAID IN TONJ EAST (TRADER ASSAULT #1)</w:t>
      </w:r>
    </w:p>
    <w:p>
      <w:pPr>
        <w:spacing w:after="120"/>
      </w:pPr>
      <w:r>
        <w:rPr>
          <w:sz w:val="22"/>
          <w:szCs w:val="22"/>
        </w:rPr>
        <w:t xml:space="preserve">On the night of 12–13 October 2025, traders transporting cattle between Malual-Cuum, Ngap-Agok, Danga, Romic, Adanga, and Ramathieng were ambushed by unknown armed youths, suspected from the Thiik and Jalwau communities. Two traders were beaten, and 20–26 cattle stolen. The incident was reported to the Tonj East County Commissioner.</w:t>
      </w:r>
    </w:p>
    <w:p>
      <w:pPr>
        <w:spacing w:after="120"/>
      </w:pPr>
      <w:r>
        <w:rPr>
          <w:b/>
          <w:bCs/>
          <w:sz w:val="20"/>
          <w:szCs w:val="20"/>
        </w:rPr>
        <w:t xml:space="preserve">SOURCE: FIOC DSR SAGE No.: 326551</w:t>
      </w:r>
    </w:p>
    <w:p>
      <w:pPr>
        <w:spacing w:before="120" w:after="60"/>
      </w:pPr>
      <w:r>
        <w:rPr>
          <w:b/>
          <w:bCs/>
          <w:sz w:val="22"/>
          <w:szCs w:val="22"/>
        </w:rPr>
        <w:t xml:space="preserve">5. CATTLE RAID IN TONJ EAST (TRADER ASSAULT #2)</w:t>
      </w:r>
    </w:p>
    <w:p>
      <w:pPr>
        <w:spacing w:after="120"/>
      </w:pPr>
      <w:r>
        <w:rPr>
          <w:sz w:val="22"/>
          <w:szCs w:val="22"/>
        </w:rPr>
        <w:t xml:space="preserve">On 13 October 2025, approximately 84 cattle (mostly belonging to Luanyjang owners) were mistakenly taken by youths from the Jalwau community in Wunlit Payam. Despite efforts by local chiefs to mediate, restitution remains unresolved.</w:t>
      </w:r>
    </w:p>
    <w:p>
      <w:pPr>
        <w:spacing w:after="120"/>
      </w:pPr>
      <w:r>
        <w:rPr>
          <w:b/>
          <w:bCs/>
          <w:sz w:val="20"/>
          <w:szCs w:val="20"/>
        </w:rPr>
        <w:t xml:space="preserve">SOURCE: FIOC DSR SAGE No.: 326554</w:t>
      </w:r>
    </w:p>
    <w:p>
      <w:pPr>
        <w:spacing w:before="120" w:after="60"/>
      </w:pPr>
      <w:r>
        <w:rPr>
          <w:b/>
          <w:bCs/>
          <w:sz w:val="22"/>
          <w:szCs w:val="22"/>
        </w:rPr>
        <w:t xml:space="preserve">6. CROSS-BORDER CATTLE RAID IN TONJ SOUTH (AMETH-CHOK)</w:t>
      </w:r>
    </w:p>
    <w:p>
      <w:pPr>
        <w:spacing w:after="120"/>
      </w:pPr>
      <w:r>
        <w:rPr>
          <w:sz w:val="22"/>
          <w:szCs w:val="22"/>
        </w:rPr>
        <w:t xml:space="preserve">On 13 October 2025, armed Dinka Gok youths from Lakes State attacked the Dinka Thony community in Ameth-Chok village, Manyangok Payam, Tonj South County. Two male herders were injured, and 25 cows stolen. The perpetrators fled back into Lakes State.</w:t>
      </w:r>
    </w:p>
    <w:p>
      <w:pPr>
        <w:spacing w:after="120"/>
      </w:pPr>
      <w:r>
        <w:rPr>
          <w:b/>
          <w:bCs/>
          <w:sz w:val="20"/>
          <w:szCs w:val="20"/>
        </w:rPr>
        <w:t xml:space="preserve">SOURCE: FIOC DSR SAGE No.: 326567</w:t>
      </w:r>
    </w:p>
    <w:p>
      <w:pPr>
        <w:spacing w:before="120" w:after="60"/>
      </w:pPr>
      <w:r>
        <w:rPr>
          <w:b/>
          <w:bCs/>
          <w:sz w:val="22"/>
          <w:szCs w:val="22"/>
        </w:rPr>
        <w:t xml:space="preserve">7. CATTLE RAID IN TONJ NORTH (AWUL PAYAM)</w:t>
      </w:r>
    </w:p>
    <w:p>
      <w:pPr>
        <w:spacing w:after="120"/>
      </w:pPr>
      <w:r>
        <w:rPr>
          <w:sz w:val="22"/>
          <w:szCs w:val="22"/>
        </w:rPr>
        <w:t xml:space="preserve">On 15 October 2025 at around 14:30 hrs, suspected armed Dinka Leer youths from Kirik Payam attacked a cattle camp belonging to the Dinka Noi community in Kuel-Aguak village, Awul Payam, Tonj North County. Two male herders were shot and injured, and 16 cows stolen. No recovery reported.</w:t>
      </w:r>
    </w:p>
    <w:p>
      <w:pPr>
        <w:spacing w:after="120"/>
      </w:pPr>
      <w:r>
        <w:rPr>
          <w:b/>
          <w:bCs/>
          <w:sz w:val="20"/>
          <w:szCs w:val="20"/>
        </w:rPr>
        <w:t xml:space="preserve">SOURCE: FIOC DSR SAGE No.: 326998</w:t>
      </w:r>
    </w:p>
    <w:p>
      <w:pPr>
        <w:spacing w:before="120" w:after="60"/>
      </w:pPr>
      <w:r>
        <w:rPr>
          <w:b/>
          <w:bCs/>
          <w:sz w:val="22"/>
          <w:szCs w:val="22"/>
        </w:rPr>
        <w:t xml:space="preserve">8. CATTLE RAID IN TONJ SOUTH (WAHNALEL PAYAM)</w:t>
      </w:r>
    </w:p>
    <w:p>
      <w:pPr>
        <w:spacing w:after="120"/>
      </w:pPr>
      <w:r>
        <w:rPr>
          <w:sz w:val="22"/>
          <w:szCs w:val="22"/>
        </w:rPr>
        <w:t xml:space="preserve">On 15 October 2025 at approximately 14:00 hrs, armed youths from the Thony community in Manyangok Payam raided two kraals belonging to the Apuk Jurwiir community in Wahnalel Payam, Tonj South County. Two boys herding cattle were tied up, and several herds were stolen. The Apuk Jurwiir community reported the matter to local authorities.</w:t>
      </w:r>
    </w:p>
    <w:p>
      <w:pPr>
        <w:spacing w:after="120"/>
      </w:pPr>
      <w:r>
        <w:rPr>
          <w:b/>
          <w:bCs/>
          <w:sz w:val="20"/>
          <w:szCs w:val="20"/>
        </w:rPr>
        <w:t xml:space="preserve">SOURCE: FIOC DSR SAGE No.: 326999</w:t>
      </w:r>
    </w:p>
    <w:p>
      <w:pPr>
        <w:spacing w:before="120" w:after="60"/>
      </w:pPr>
      <w:r>
        <w:rPr>
          <w:b/>
          <w:bCs/>
          <w:sz w:val="22"/>
          <w:szCs w:val="22"/>
        </w:rPr>
        <w:t xml:space="preserve">9. CATTLE RAID IN TONJ SOUTH (THIET PAYAM)</w:t>
      </w:r>
    </w:p>
    <w:p>
      <w:pPr>
        <w:spacing w:after="120"/>
      </w:pPr>
      <w:r>
        <w:rPr>
          <w:sz w:val="22"/>
          <w:szCs w:val="22"/>
        </w:rPr>
        <w:t xml:space="preserve">On 15 October 2025, at around 14:00 hrs, armed youths suspected to be from the East Thony community raided Tarwend cattle camp in Thiet Payam, Tonj South County, stealing 14 cows belonging to two local herders. No arrests have been made; investigations continue.</w:t>
      </w:r>
    </w:p>
    <w:p>
      <w:pPr>
        <w:spacing w:after="120"/>
      </w:pPr>
      <w:r>
        <w:rPr>
          <w:b/>
          <w:bCs/>
          <w:sz w:val="20"/>
          <w:szCs w:val="20"/>
        </w:rPr>
        <w:t xml:space="preserve">SOURCE: UNPOL Fact-Finding Report SAGE No.: Pending</w:t>
      </w:r>
    </w:p>
    <w:p>
      <w:pPr>
        <w:spacing w:before="120" w:after="60"/>
      </w:pPr>
      <w:r>
        <w:rPr>
          <w:b/>
          <w:bCs/>
          <w:sz w:val="22"/>
          <w:szCs w:val="22"/>
        </w:rPr>
        <w:t xml:space="preserve">10. SUICIDE IN TONJ NORTH (RORMOC VILLAGE)</w:t>
      </w:r>
    </w:p>
    <w:p>
      <w:pPr>
        <w:spacing w:after="120"/>
      </w:pPr>
      <w:r>
        <w:rPr>
          <w:sz w:val="22"/>
          <w:szCs w:val="22"/>
        </w:rPr>
        <w:t xml:space="preserve">On 13 October 2025 around 12:00 hrs, Ayom Aroou (15), a resident of Rormoc village, Awul Payam, Tonj North County, committed suicide by hanging near his home. The reason remains unknown.</w:t>
      </w:r>
    </w:p>
    <w:p>
      <w:pPr>
        <w:spacing w:after="120"/>
      </w:pPr>
      <w:r>
        <w:rPr>
          <w:b/>
          <w:bCs/>
          <w:sz w:val="20"/>
          <w:szCs w:val="20"/>
        </w:rPr>
        <w:t xml:space="preserve">SOURCE: UNPOL DSR SAGE No.: 326627</w:t>
      </w:r>
    </w:p>
    <w:p>
      <w:pPr>
        <w:spacing w:before="120" w:after="60"/>
      </w:pPr>
      <w:r>
        <w:rPr>
          <w:b/>
          <w:bCs/>
          <w:sz w:val="22"/>
          <w:szCs w:val="22"/>
        </w:rPr>
        <w:t xml:space="preserve">11. REVENGE KILLING IN TONJ NORTH (KIRIK PAYAM)</w:t>
      </w:r>
    </w:p>
    <w:p>
      <w:pPr>
        <w:spacing w:after="120"/>
      </w:pPr>
      <w:r>
        <w:rPr>
          <w:sz w:val="22"/>
          <w:szCs w:val="22"/>
        </w:rPr>
        <w:t xml:space="preserve">On 14 October 2025 at approximately 15:00 hrs, suspected armed Dinka Leer youths from Kirik Payam ambushed and killed one male cyclist from the Dinka Lou-Paher community traveling from Rualbet Payam to Awul Payam. The attackers also stole the victim's motorcycle and fled. No arrests reported.</w:t>
      </w:r>
    </w:p>
    <w:p>
      <w:pPr>
        <w:spacing w:after="120"/>
      </w:pPr>
      <w:r>
        <w:rPr>
          <w:b/>
          <w:bCs/>
          <w:sz w:val="20"/>
          <w:szCs w:val="20"/>
        </w:rPr>
        <w:t xml:space="preserve">SOURCE: FIOC DSR SAGE No.: 326782</w:t>
      </w:r>
    </w:p>
    <w:p>
      <w:pPr>
        <w:spacing w:before="120" w:after="60"/>
      </w:pPr>
      <w:r>
        <w:rPr>
          <w:b/>
          <w:bCs/>
          <w:sz w:val="22"/>
          <w:szCs w:val="22"/>
        </w:rPr>
        <w:t xml:space="preserve">12. REVENGE KILLING IN TONJ NORTH (MARIAL-LOU PAYAM)</w:t>
      </w:r>
    </w:p>
    <w:p>
      <w:pPr>
        <w:spacing w:after="120"/>
      </w:pPr>
      <w:r>
        <w:rPr>
          <w:sz w:val="22"/>
          <w:szCs w:val="22"/>
        </w:rPr>
        <w:t xml:space="preserve">On 16 October 2025 at around 10:00 hrs, armed Dinka Apuk-Patoc youths from Akop Payam attacked the Lou-Paher community in Pul-Bar village, Marial-Lou Payam, Tonj North County. One adult male was killed, another injured, and an unspecified number of cattle stolen. The injured man is receiving treatment at Marial-Lou Hospital.</w:t>
      </w:r>
    </w:p>
    <w:p>
      <w:pPr>
        <w:spacing w:after="120"/>
      </w:pPr>
      <w:r>
        <w:rPr>
          <w:b/>
          <w:bCs/>
          <w:sz w:val="20"/>
          <w:szCs w:val="20"/>
        </w:rPr>
        <w:t xml:space="preserve">SOURCE: FIOC DSR SAGE No.: Pending</w:t>
      </w:r>
    </w:p>
    <w:p>
      <w:pPr>
        <w:spacing w:after="24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100"/>
        <w:gridCol w:w="100"/>
      </w:tblGrid>
      <w:tr>
        <w:tc>
          <w:tcPr>
            <w:tcBorders>
              <w:top w:val="single" w:color="000000" w:sz="1"/>
              <w:left w:val="single" w:color="000000" w:sz="1"/>
              <w:bottom w:val="single" w:color="000000" w:sz="1"/>
              <w:right w:val="single" w:color="000000" w:sz="1"/>
            </w:tcBorders>
          </w:tcPr>
          <w:p>
            <w:pPr>
              <w:jc w:val="center"/>
            </w:pPr>
            <w:r>
              <w:rPr>
                <w:b/>
                <w:bCs/>
                <w:sz w:val="22"/>
                <w:szCs w:val="22"/>
              </w:rPr>
              <w:t xml:space="preserve">Drafted by:</w:t>
            </w:r>
          </w:p>
        </w:tc>
        <w:tc>
          <w:tcPr>
            <w:tcBorders>
              <w:top w:val="single" w:color="000000" w:sz="1"/>
              <w:left w:val="single" w:color="000000" w:sz="1"/>
              <w:bottom w:val="single" w:color="000000" w:sz="1"/>
              <w:right w:val="single" w:color="000000" w:sz="1"/>
            </w:tcBorders>
          </w:tcPr>
          <w:p>
            <w:pPr>
              <w:jc w:val="center"/>
            </w:pPr>
            <w:r>
              <w:rPr>
                <w:b/>
                <w:bCs/>
                <w:sz w:val="22"/>
                <w:szCs w:val="22"/>
              </w:rPr>
              <w:t xml:space="preserve">Approved by:</w:t>
            </w:r>
          </w:p>
        </w:tc>
      </w:tr>
      <w:tr>
        <w:tc>
          <w:tcPr>
            <w:tcBorders>
              <w:top w:val="single" w:color="000000" w:sz="1"/>
              <w:left w:val="single" w:color="000000" w:sz="1"/>
              <w:bottom w:val="single" w:color="000000" w:sz="1"/>
              <w:right w:val="single" w:color="000000" w:sz="1"/>
            </w:tcBorders>
          </w:tcPr>
          <w:p>
            <w:pPr>
              <w:spacing w:after="60"/>
              <w:jc w:val="left"/>
            </w:pPr>
            <w:r>
              <w:rPr>
                <w:sz w:val="22"/>
                <w:szCs w:val="22"/>
              </w:rPr>
              <w:t xml:space="preserve">Crime Analysis Officer</w:t>
            </w:r>
          </w:p>
          <w:p>
            <w:pPr>
              <w:spacing w:after="60"/>
              <w:jc w:val="left"/>
            </w:pPr>
            <w:r>
              <w:rPr>
                <w:sz w:val="22"/>
                <w:szCs w:val="22"/>
              </w:rPr>
              <w:t xml:space="preserve">UNPOL</w:t>
            </w:r>
          </w:p>
          <w:p>
            <w:pPr>
              <w:jc w:val="left"/>
            </w:pPr>
            <w:r>
              <w:rPr>
                <w:sz w:val="22"/>
                <w:szCs w:val="22"/>
              </w:rPr>
              <w:t xml:space="preserve">Field Office</w:t>
            </w:r>
          </w:p>
        </w:tc>
        <w:tc>
          <w:tcPr>
            <w:tcBorders>
              <w:top w:val="single" w:color="000000" w:sz="1"/>
              <w:left w:val="single" w:color="000000" w:sz="1"/>
              <w:bottom w:val="single" w:color="000000" w:sz="1"/>
              <w:right w:val="single" w:color="000000" w:sz="1"/>
            </w:tcBorders>
          </w:tcPr>
          <w:p>
            <w:pPr>
              <w:spacing w:after="60"/>
              <w:jc w:val="left"/>
            </w:pPr>
            <w:r>
              <w:rPr>
                <w:sz w:val="22"/>
                <w:szCs w:val="22"/>
              </w:rPr>
              <w:t xml:space="preserve">Deputy Field Office Police Commissioner</w:t>
            </w:r>
          </w:p>
          <w:p>
            <w:pPr>
              <w:spacing w:after="60"/>
              <w:jc w:val="left"/>
            </w:pPr>
            <w:r>
              <w:rPr>
                <w:sz w:val="22"/>
                <w:szCs w:val="22"/>
              </w:rPr>
              <w:t xml:space="preserve">UNPOL</w:t>
            </w:r>
          </w:p>
          <w:p>
            <w:pPr>
              <w:jc w:val="left"/>
            </w:pPr>
            <w:r>
              <w:rPr>
                <w:sz w:val="22"/>
                <w:szCs w:val="22"/>
              </w:rPr>
              <w:t xml:space="preserve">Field Office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40" w:after="12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2025-10-17T09:34:55.863Z</dcterms:created>
  <dcterms:modified xsi:type="dcterms:W3CDTF">2025-10-17T09:34:55.864Z</dcterms:modified>
</cp:coreProperties>
</file>

<file path=docProps/custom.xml><?xml version="1.0" encoding="utf-8"?>
<Properties xmlns="http://schemas.openxmlformats.org/officeDocument/2006/custom-properties" xmlns:vt="http://schemas.openxmlformats.org/officeDocument/2006/docPropsVTypes"/>
</file>