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drawing>
          <wp:inline xmlns:a="http://schemas.openxmlformats.org/drawingml/2006/main" xmlns:pic="http://schemas.openxmlformats.org/drawingml/2006/picture">
            <wp:extent cx="969539" cy="396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969539" cy="396000"/>
                    </a:xfrm>
                    <a:prstGeom prst="rect"/>
                  </pic:spPr>
                </pic:pic>
              </a:graphicData>
            </a:graphic>
          </wp:inline>
        </w:drawing>
      </w:r>
    </w:p>
    <w:p>
      <w:pPr>
        <w:spacing w:before="40" w:after="200" w:line="276" w:lineRule="auto"/>
      </w:pPr>
      <w:r>
        <w:rPr>
          <w:rFonts w:ascii="Calibri" w:hAnsi="Calibri" w:cs="Calibri"/>
          <w:b/>
          <w:i w:val="0"/>
          <w:color w:val="8C6F45"/>
          <w:sz w:val="16"/>
          <w:spacing w:val="40"/>
        </w:rPr>
        <w:t>CONFIDENTIAL</w:t>
      </w:r>
    </w:p>
    <w:p>
      <w:pPr>
        <w:spacing w:before="0" w:after="40" w:line="276" w:lineRule="auto"/>
      </w:pPr>
      <w:r>
        <w:rPr>
          <w:rFonts w:ascii="Calibri" w:hAnsi="Calibri" w:cs="Calibri"/>
          <w:b/>
          <w:i w:val="0"/>
          <w:color w:val="B0895A"/>
          <w:sz w:val="18"/>
          <w:spacing w:val="40"/>
        </w:rPr>
        <w:t>RB Factoring · T-Bank Group</w:t>
      </w:r>
    </w:p>
    <w:p>
      <w:pPr>
        <w:spacing w:before="0" w:after="120" w:line="276" w:lineRule="auto"/>
      </w:pPr>
      <w:r>
        <w:rPr>
          <w:rFonts w:ascii="Calibri" w:hAnsi="Calibri" w:cs="Calibri"/>
          <w:b w:val="0"/>
          <w:i w:val="0"/>
          <w:color w:val="8C887F"/>
          <w:sz w:val="21"/>
        </w:rPr>
        <w:t xml:space="preserve">A personalised proposal prepared for   </w:t>
      </w:r>
      <w:r>
        <w:rPr>
          <w:rFonts w:ascii="Calibri" w:hAnsi="Calibri" w:cs="Calibri"/>
          <w:b/>
          <w:i w:val="0"/>
          <w:color w:val="16161A"/>
          <w:sz w:val="21"/>
        </w:rPr>
        <w:t>KONKORD LLC</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89"/>
        <w:gridCol w:w="3289"/>
        <w:gridCol w:w="3289"/>
      </w:tblGrid>
      <w:tr>
        <w:tc>
          <w:tcPr>
            <w:tcW w:type="dxa" w:w="3288"/>
            <w:vAlign w:val="top"/>
            <w:tcMar>
              <w:top w:w="120" w:type="dxa"/>
              <w:bottom w:w="120" w:type="dxa"/>
              <w:start w:w="40" w:type="dxa"/>
              <w:end w:w="120" w:type="dxa"/>
              <w:left w:w="40" w:type="dxa"/>
              <w:right w:w="120" w:type="dxa"/>
            </w:tcMar>
          </w:tcPr>
          <w:p>
            <w:pPr>
              <w:spacing w:after="60"/>
            </w:pPr>
            <w:r>
              <w:rPr>
                <w:rFonts w:ascii="Georgia" w:hAnsi="Georgia" w:cs="Georgia"/>
                <w:b/>
                <w:i w:val="0"/>
                <w:color w:val="16161A"/>
                <w:sz w:val="36"/>
              </w:rPr>
              <w:t>up to 100%</w:t>
            </w:r>
          </w:p>
          <w:p>
            <w:pPr>
              <w:spacing w:before="0" w:after="0" w:line="264" w:lineRule="auto"/>
            </w:pPr>
            <w:r>
              <w:rPr>
                <w:rFonts w:ascii="Calibri" w:hAnsi="Calibri" w:cs="Calibri"/>
                <w:b w:val="0"/>
                <w:i w:val="0"/>
                <w:color w:val="8C887F"/>
                <w:sz w:val="17"/>
              </w:rPr>
              <w:t>financing of the invoice amount</w:t>
            </w:r>
          </w:p>
        </w:tc>
        <w:tc>
          <w:tcPr>
            <w:tcW w:type="dxa" w:w="3288"/>
            <w:vAlign w:val="top"/>
            <w:tcMar>
              <w:top w:w="120" w:type="dxa"/>
              <w:bottom w:w="120" w:type="dxa"/>
              <w:start w:w="40" w:type="dxa"/>
              <w:end w:w="120" w:type="dxa"/>
              <w:left w:w="40" w:type="dxa"/>
              <w:right w:w="120" w:type="dxa"/>
            </w:tcMar>
          </w:tcPr>
          <w:p>
            <w:pPr>
              <w:spacing w:after="60"/>
            </w:pPr>
            <w:r>
              <w:rPr>
                <w:rFonts w:ascii="Georgia" w:hAnsi="Georgia" w:cs="Georgia"/>
                <w:b/>
                <w:i w:val="0"/>
                <w:color w:val="16161A"/>
                <w:sz w:val="36"/>
              </w:rPr>
              <w:t>up to 90 days</w:t>
            </w:r>
          </w:p>
          <w:p>
            <w:pPr>
              <w:spacing w:before="0" w:after="0" w:line="264" w:lineRule="auto"/>
            </w:pPr>
            <w:r>
              <w:rPr>
                <w:rFonts w:ascii="Calibri" w:hAnsi="Calibri" w:cs="Calibri"/>
                <w:b w:val="0"/>
                <w:i w:val="0"/>
                <w:color w:val="8C887F"/>
                <w:sz w:val="17"/>
              </w:rPr>
              <w:t>payment deferral for buyers</w:t>
            </w:r>
          </w:p>
        </w:tc>
        <w:tc>
          <w:tcPr>
            <w:tcW w:type="dxa" w:w="3288"/>
            <w:vAlign w:val="top"/>
            <w:tcMar>
              <w:top w:w="120" w:type="dxa"/>
              <w:bottom w:w="120" w:type="dxa"/>
              <w:start w:w="40" w:type="dxa"/>
              <w:end w:w="120" w:type="dxa"/>
              <w:left w:w="40" w:type="dxa"/>
              <w:right w:w="120" w:type="dxa"/>
            </w:tcMar>
          </w:tcPr>
          <w:p>
            <w:pPr>
              <w:spacing w:after="60"/>
            </w:pPr>
            <w:r>
              <w:rPr>
                <w:rFonts w:ascii="Georgia" w:hAnsi="Georgia" w:cs="Georgia"/>
                <w:b/>
                <w:i w:val="0"/>
                <w:color w:val="16161A"/>
                <w:sz w:val="36"/>
              </w:rPr>
              <w:t>up to 10 days</w:t>
            </w:r>
          </w:p>
          <w:p>
            <w:pPr>
              <w:spacing w:before="0" w:after="0" w:line="264" w:lineRule="auto"/>
            </w:pPr>
            <w:r>
              <w:rPr>
                <w:rFonts w:ascii="Calibri" w:hAnsi="Calibri" w:cs="Calibri"/>
                <w:b w:val="0"/>
                <w:i w:val="0"/>
                <w:color w:val="8C887F"/>
                <w:sz w:val="17"/>
              </w:rPr>
              <w:t>time to approve the limit</w:t>
            </w:r>
          </w:p>
        </w:tc>
      </w:tr>
    </w:tbl>
    <w:p>
      <w:pPr>
        <w:spacing w:before="0" w:after="40" w:line="276" w:lineRule="auto"/>
        <w:pBdr>
          <w:bottom w:val="single" w:sz="6" w:space="1" w:color="E7E2D8"/>
        </w:pBdr>
      </w:pPr>
    </w:p>
    <w:p>
      <w:pPr>
        <w:spacing w:before="0" w:after="16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866"/>
      </w:tblGrid>
      <w:tr>
        <w:tc>
          <w:tcPr>
            <w:tcW w:type="dxa" w:w="9865"/>
            <w:shd w:val="clear" w:fill="16161A"/>
            <w:tcMar>
              <w:top w:w="360" w:type="dxa"/>
              <w:bottom w:w="360" w:type="dxa"/>
              <w:start w:w="320" w:type="dxa"/>
              <w:end w:w="320" w:type="dxa"/>
              <w:left w:w="320" w:type="dxa"/>
              <w:right w:w="320" w:type="dxa"/>
            </w:tcMar>
          </w:tcPr>
          <w:p>
            <w:pPr>
              <w:spacing w:after="40"/>
            </w:pPr>
            <w:r>
              <w:rPr>
                <w:rFonts w:ascii="Calibri" w:hAnsi="Calibri" w:cs="Calibri"/>
                <w:b/>
                <w:i w:val="0"/>
                <w:color w:val="CBA86B"/>
                <w:sz w:val="17"/>
                <w:spacing w:val="40"/>
              </w:rPr>
              <w:t>COMMERCIAL PROPOSAL</w:t>
            </w:r>
          </w:p>
          <w:p>
            <w:pPr>
              <w:spacing w:before="40" w:after="80" w:line="276" w:lineRule="auto"/>
            </w:pPr>
            <w:r>
              <w:rPr>
                <w:rFonts w:ascii="Georgia" w:hAnsi="Georgia" w:cs="Georgia"/>
                <w:b/>
                <w:i w:val="0"/>
                <w:color w:val="FFFFFF"/>
                <w:sz w:val="60"/>
              </w:rPr>
              <w:t>Factoring Services</w:t>
            </w:r>
          </w:p>
          <w:p>
            <w:pPr>
              <w:spacing w:before="0" w:after="240" w:line="324" w:lineRule="auto"/>
            </w:pPr>
            <w:r>
              <w:rPr>
                <w:rFonts w:ascii="Calibri" w:hAnsi="Calibri" w:cs="Calibri"/>
                <w:b w:val="0"/>
                <w:i w:val="0"/>
                <w:color w:val="C9C6CE"/>
                <w:sz w:val="21"/>
              </w:rPr>
              <w:t>Financing against assignment of receivables, professional management of settlements and protection from cash-flow gaps — on terms tailored individually to your company.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288"/>
              <w:gridCol w:w="3288"/>
              <w:gridCol w:w="3288"/>
            </w:tblGrid>
            <w:tr>
              <w:tc>
                <w:tcPr>
                  <w:tcW w:type="dxa" w:w="3288"/>
                  <w:tcMar>
                    <w:top w:w="60" w:type="dxa"/>
                    <w:bottom w:w="60" w:type="dxa"/>
                    <w:start w:w="0" w:type="dxa"/>
                    <w:end w:w="120" w:type="dxa"/>
                    <w:left w:w="0" w:type="dxa"/>
                    <w:right w:w="120" w:type="dxa"/>
                  </w:tcMar>
                  <w:shd w:val="clear" w:fill="16161A"/>
                </w:tcPr>
                <w:p>
                  <w:pPr>
                    <w:spacing w:after="60"/>
                  </w:pPr>
                  <w:r>
                    <w:rPr>
                      <w:rFonts w:ascii="Calibri" w:hAnsi="Calibri" w:cs="Calibri"/>
                      <w:b/>
                      <w:i w:val="0"/>
                      <w:color w:val="CBA86B"/>
                      <w:sz w:val="14"/>
                      <w:spacing w:val="30"/>
                    </w:rPr>
                    <w:t>PREPARED FOR</w:t>
                  </w:r>
                </w:p>
                <w:p>
                  <w:pPr>
                    <w:spacing w:before="0" w:after="0" w:line="264" w:lineRule="auto"/>
                  </w:pPr>
                  <w:r>
                    <w:rPr>
                      <w:rFonts w:ascii="Calibri" w:hAnsi="Calibri" w:cs="Calibri"/>
                      <w:b/>
                      <w:i w:val="0"/>
                      <w:color w:val="FFFFFF"/>
                      <w:sz w:val="20"/>
                    </w:rPr>
                    <w:t>KONKORD LLC</w:t>
                  </w:r>
                </w:p>
              </w:tc>
              <w:tc>
                <w:tcPr>
                  <w:tcW w:type="dxa" w:w="3288"/>
                  <w:tcMar>
                    <w:top w:w="60" w:type="dxa"/>
                    <w:bottom w:w="60" w:type="dxa"/>
                    <w:start w:w="0" w:type="dxa"/>
                    <w:end w:w="120" w:type="dxa"/>
                    <w:left w:w="0" w:type="dxa"/>
                    <w:right w:w="120" w:type="dxa"/>
                  </w:tcMar>
                  <w:shd w:val="clear" w:fill="16161A"/>
                </w:tcPr>
                <w:p>
                  <w:pPr>
                    <w:spacing w:after="60"/>
                  </w:pPr>
                  <w:r>
                    <w:rPr>
                      <w:rFonts w:ascii="Calibri" w:hAnsi="Calibri" w:cs="Calibri"/>
                      <w:b/>
                      <w:i w:val="0"/>
                      <w:color w:val="CBA86B"/>
                      <w:sz w:val="14"/>
                      <w:spacing w:val="30"/>
                    </w:rPr>
                    <w:t>DATE</w:t>
                  </w:r>
                </w:p>
                <w:p>
                  <w:pPr>
                    <w:spacing w:before="0" w:after="0" w:line="264" w:lineRule="auto"/>
                  </w:pPr>
                  <w:r>
                    <w:rPr>
                      <w:rFonts w:ascii="Calibri" w:hAnsi="Calibri" w:cs="Calibri"/>
                      <w:b/>
                      <w:i w:val="0"/>
                      <w:color w:val="FFFFFF"/>
                      <w:sz w:val="20"/>
                    </w:rPr>
                    <w:t>09 June 2026</w:t>
                  </w:r>
                </w:p>
                <w:p>
                  <w:pPr>
                    <w:spacing w:before="0" w:after="0" w:line="240" w:lineRule="auto"/>
                  </w:pPr>
                  <w:r>
                    <w:rPr>
                      <w:rFonts w:ascii="Calibri" w:hAnsi="Calibri" w:cs="Calibri"/>
                      <w:b w:val="0"/>
                      <w:i w:val="0"/>
                      <w:color w:val="A7A3AC"/>
                      <w:sz w:val="15"/>
                    </w:rPr>
                    <w:t>valid for 30 days</w:t>
                  </w:r>
                </w:p>
              </w:tc>
              <w:tc>
                <w:tcPr>
                  <w:tcW w:type="dxa" w:w="3288"/>
                  <w:tcMar>
                    <w:top w:w="60" w:type="dxa"/>
                    <w:bottom w:w="60" w:type="dxa"/>
                    <w:start w:w="0" w:type="dxa"/>
                    <w:end w:w="120" w:type="dxa"/>
                    <w:left w:w="0" w:type="dxa"/>
                    <w:right w:w="120" w:type="dxa"/>
                  </w:tcMar>
                  <w:shd w:val="clear" w:fill="16161A"/>
                </w:tcPr>
                <w:p>
                  <w:pPr>
                    <w:spacing w:after="60"/>
                  </w:pPr>
                  <w:r>
                    <w:rPr>
                      <w:rFonts w:ascii="Calibri" w:hAnsi="Calibri" w:cs="Calibri"/>
                      <w:b/>
                      <w:i w:val="0"/>
                      <w:color w:val="CBA86B"/>
                      <w:sz w:val="14"/>
                      <w:spacing w:val="30"/>
                    </w:rPr>
                    <w:t>DOCUMENT</w:t>
                  </w:r>
                </w:p>
                <w:p>
                  <w:pPr>
                    <w:spacing w:before="0" w:after="0" w:line="264" w:lineRule="auto"/>
                  </w:pPr>
                  <w:r>
                    <w:rPr>
                      <w:rFonts w:ascii="Calibri" w:hAnsi="Calibri" w:cs="Calibri"/>
                      <w:b/>
                      <w:i w:val="0"/>
                      <w:color w:val="FFFFFF"/>
                      <w:sz w:val="20"/>
                    </w:rPr>
                    <w:t>CO-2026/06-09</w:t>
                  </w:r>
                </w:p>
              </w:tc>
            </w:tr>
          </w:tbl>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6803"/>
            <w:tcMar>
              <w:top w:w="0" w:type="dxa"/>
              <w:bottom w:w="0" w:type="dxa"/>
              <w:start w:w="0" w:type="dxa"/>
              <w:end w:w="0" w:type="dxa"/>
              <w:left w:w="0" w:type="dxa"/>
              <w:right w:w="0" w:type="dxa"/>
            </w:tcMar>
          </w:tcPr>
          <w:p>
            <w:r>
              <w:drawing>
                <wp:inline xmlns:a="http://schemas.openxmlformats.org/drawingml/2006/main" xmlns:pic="http://schemas.openxmlformats.org/drawingml/2006/picture">
                  <wp:extent cx="616979" cy="252000"/>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16979" cy="252000"/>
                          </a:xfrm>
                          <a:prstGeom prst="rect"/>
                        </pic:spPr>
                      </pic:pic>
                    </a:graphicData>
                  </a:graphic>
                </wp:inline>
              </w:drawing>
            </w:r>
          </w:p>
        </w:tc>
        <w:tc>
          <w:tcPr>
            <w:tcW w:type="dxa" w:w="3061"/>
            <w:tcMar>
              <w:top w:w="0" w:type="dxa"/>
              <w:bottom w:w="0" w:type="dxa"/>
              <w:start w:w="0" w:type="dxa"/>
              <w:end w:w="0" w:type="dxa"/>
              <w:left w:w="0" w:type="dxa"/>
              <w:right w:w="0" w:type="dxa"/>
            </w:tcMar>
          </w:tcPr>
          <w:p>
            <w:pPr>
              <w:jc w:val="right"/>
            </w:pPr>
            <w:r>
              <w:rPr>
                <w:rFonts w:ascii="Calibri" w:hAnsi="Calibri" w:cs="Calibri"/>
                <w:b/>
                <w:i w:val="0"/>
                <w:color w:val="8C887F"/>
                <w:sz w:val="16"/>
                <w:spacing w:val="30"/>
              </w:rPr>
              <w:t>01 · COVER LETTER</w:t>
            </w:r>
          </w:p>
        </w:tc>
      </w:tr>
    </w:tbl>
    <w:p>
      <w:pPr>
        <w:spacing w:before="0" w:after="120" w:line="276" w:lineRule="auto"/>
        <w:pBdr>
          <w:bottom w:val="single" w:sz="6" w:space="1" w:color="E7E2D8"/>
        </w:pBdr>
      </w:pPr>
    </w:p>
    <w:p>
      <w:pPr>
        <w:spacing w:before="0" w:after="40" w:line="276" w:lineRule="auto"/>
      </w:pPr>
      <w:r>
        <w:rPr>
          <w:rFonts w:ascii="Calibri" w:hAnsi="Calibri" w:cs="Calibri"/>
          <w:b/>
          <w:i w:val="0"/>
          <w:color w:val="B0895A"/>
          <w:sz w:val="16"/>
          <w:spacing w:val="40"/>
        </w:rPr>
        <w:t>COVER LETTER</w:t>
      </w:r>
    </w:p>
    <w:p>
      <w:pPr>
        <w:spacing w:before="0" w:after="160" w:line="276" w:lineRule="auto"/>
      </w:pPr>
      <w:r>
        <w:rPr>
          <w:rFonts w:ascii="Georgia" w:hAnsi="Georgia" w:cs="Georgia"/>
          <w:b/>
          <w:i w:val="0"/>
          <w:color w:val="16161A"/>
          <w:sz w:val="30"/>
        </w:rPr>
        <w:t>Dear Sirs,</w:t>
      </w:r>
    </w:p>
    <w:p>
      <w:pPr>
        <w:spacing w:before="0" w:after="160" w:line="348" w:lineRule="auto"/>
      </w:pPr>
      <w:r>
        <w:rPr>
          <w:rFonts w:ascii="Calibri" w:hAnsi="Calibri" w:cs="Calibri"/>
          <w:b w:val="0"/>
          <w:i w:val="0"/>
          <w:color w:val="2A2A2E"/>
          <w:sz w:val="21"/>
        </w:rPr>
        <w:t>We are pleased to present a suite of factoring services designed specifically for your company. We trust it will fully meet your expectations and business objectives.</w:t>
      </w:r>
    </w:p>
    <w:p>
      <w:pPr>
        <w:spacing w:before="0" w:after="200" w:line="348" w:lineRule="auto"/>
      </w:pPr>
      <w:r>
        <w:rPr>
          <w:rFonts w:ascii="Calibri" w:hAnsi="Calibri" w:cs="Calibri"/>
          <w:b/>
          <w:i w:val="0"/>
          <w:color w:val="16161A"/>
          <w:sz w:val="21"/>
        </w:rPr>
        <w:t>RB Factoring</w:t>
      </w:r>
      <w:r>
        <w:rPr>
          <w:rFonts w:ascii="Calibri" w:hAnsi="Calibri" w:cs="Calibri"/>
          <w:b w:val="0"/>
          <w:i w:val="0"/>
          <w:color w:val="2A2A2E"/>
          <w:sz w:val="21"/>
        </w:rPr>
        <w:t xml:space="preserve"> provides the full range of factoring services. Under this proposal we offer factoring </w:t>
      </w:r>
      <w:r>
        <w:rPr>
          <w:rFonts w:ascii="Calibri" w:hAnsi="Calibri" w:cs="Calibri"/>
          <w:b/>
          <w:i w:val="0"/>
          <w:color w:val="16161A"/>
          <w:sz w:val="21"/>
        </w:rPr>
        <w:t>with recourse</w:t>
      </w:r>
      <w:r>
        <w:rPr>
          <w:rFonts w:ascii="Calibri" w:hAnsi="Calibri" w:cs="Calibri"/>
          <w:b w:val="0"/>
          <w:i w:val="0"/>
          <w:color w:val="2A2A2E"/>
          <w:sz w:val="21"/>
        </w:rPr>
        <w:t>.</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866"/>
      </w:tblGrid>
      <w:tr>
        <w:tc>
          <w:tcPr>
            <w:tcW w:type="dxa" w:w="9865"/>
            <w:shd w:val="clear" w:fill="FBF9F5"/>
            <w:tcMar>
              <w:top w:w="160" w:type="dxa"/>
              <w:bottom w:w="160" w:type="dxa"/>
              <w:start w:w="220" w:type="dxa"/>
              <w:end w:w="200" w:type="dxa"/>
              <w:left w:w="220" w:type="dxa"/>
              <w:right w:w="200" w:type="dxa"/>
            </w:tcMar>
            <w:tcBorders>
              <w:left w:val="single" w:sz="24" w:space="0" w:color="B0895A"/>
            </w:tcBorders>
          </w:tcPr>
          <w:p>
            <w:r>
              <w:rPr>
                <w:rFonts w:ascii="Georgia" w:hAnsi="Georgia" w:cs="Georgia"/>
                <w:b/>
                <w:i w:val="0"/>
                <w:color w:val="3C3C44"/>
                <w:sz w:val="23"/>
              </w:rPr>
              <w:t>Under the factoring agreement, we will provide financing against assignment of receivables of up to 100% of the issued invoice amount.</w:t>
            </w:r>
          </w:p>
        </w:tc>
      </w:tr>
    </w:tbl>
    <w:p>
      <w:pPr>
        <w:spacing w:before="0" w:after="40" w:line="276" w:lineRule="auto"/>
      </w:pPr>
    </w:p>
    <w:p>
      <w:pPr>
        <w:spacing w:before="0" w:after="160" w:line="348" w:lineRule="auto"/>
      </w:pPr>
      <w:r>
        <w:rPr>
          <w:rFonts w:ascii="Calibri" w:hAnsi="Calibri" w:cs="Calibri"/>
          <w:b w:val="0"/>
          <w:i w:val="0"/>
          <w:color w:val="2A2A2E"/>
          <w:sz w:val="21"/>
        </w:rPr>
        <w:t>This helps replenish your working capital and grant payment deferrals to your buyers, while protecting you from the risk of non-payment, with the option to derecognise the receivable at the moment it is assigned to the factor.</w:t>
      </w:r>
    </w:p>
    <w:p>
      <w:pPr>
        <w:spacing w:before="0" w:after="160" w:line="348" w:lineRule="auto"/>
      </w:pPr>
      <w:r>
        <w:rPr>
          <w:rFonts w:ascii="Calibri" w:hAnsi="Calibri" w:cs="Calibri"/>
          <w:b w:val="0"/>
          <w:i w:val="0"/>
          <w:color w:val="2A2A2E"/>
          <w:sz w:val="21"/>
        </w:rPr>
        <w:t xml:space="preserve">We will also take over </w:t>
      </w:r>
      <w:r>
        <w:rPr>
          <w:rFonts w:ascii="Calibri" w:hAnsi="Calibri" w:cs="Calibri"/>
          <w:b/>
          <w:i w:val="0"/>
          <w:color w:val="16161A"/>
          <w:sz w:val="21"/>
        </w:rPr>
        <w:t>administrative management of your receivables</w:t>
      </w:r>
      <w:r>
        <w:rPr>
          <w:rFonts w:ascii="Calibri" w:hAnsi="Calibri" w:cs="Calibri"/>
          <w:b w:val="0"/>
          <w:i w:val="0"/>
          <w:color w:val="2A2A2E"/>
          <w:sz w:val="21"/>
        </w:rPr>
        <w:t>: monitoring timely repayment by your buyers and handling reminders in case of delays. You will receive prompt reports on the status of your receivables and your buyers' payment schedule.</w:t>
      </w:r>
    </w:p>
    <w:p>
      <w:pPr>
        <w:spacing w:before="0" w:after="160" w:line="348" w:lineRule="auto"/>
      </w:pPr>
      <w:r>
        <w:rPr>
          <w:rFonts w:ascii="Calibri" w:hAnsi="Calibri" w:cs="Calibri"/>
          <w:b w:val="0"/>
          <w:i w:val="0"/>
          <w:color w:val="2A2A2E"/>
          <w:sz w:val="21"/>
        </w:rPr>
        <w:t>We look forward to a mutually beneficial and long-term partnership.</w:t>
      </w:r>
    </w:p>
    <w:p>
      <w:pPr>
        <w:spacing w:before="0" w:after="80" w:line="276" w:lineRule="auto"/>
      </w:pPr>
    </w:p>
    <w:p>
      <w:pPr>
        <w:spacing w:before="0" w:after="120" w:line="276" w:lineRule="auto"/>
        <w:pBdr>
          <w:bottom w:val="single" w:sz="6" w:space="1" w:color="E7E2D8"/>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1020"/>
            <w:shd w:val="clear" w:fill="16161A"/>
            <w:tcMar>
              <w:top w:w="140" w:type="dxa"/>
              <w:bottom w:w="140" w:type="dxa"/>
              <w:start w:w="40" w:type="dxa"/>
              <w:end w:w="40" w:type="dxa"/>
              <w:left w:w="40" w:type="dxa"/>
              <w:right w:w="40" w:type="dxa"/>
            </w:tcMar>
            <w:vAlign w:val="center"/>
          </w:tcPr>
          <w:p>
            <w:pPr>
              <w:jc w:val="center"/>
            </w:pPr>
            <w:r>
              <w:rPr>
                <w:rFonts w:ascii="Georgia" w:hAnsi="Georgia" w:cs="Georgia"/>
                <w:b/>
                <w:i w:val="0"/>
                <w:color w:val="CBA86B"/>
                <w:sz w:val="30"/>
              </w:rPr>
              <w:t>ИК</w:t>
            </w:r>
          </w:p>
        </w:tc>
        <w:tc>
          <w:tcPr>
            <w:tcW w:type="dxa" w:w="8844"/>
            <w:tcMar>
              <w:top w:w="40" w:type="dxa"/>
              <w:bottom w:w="40" w:type="dxa"/>
              <w:start w:w="160" w:type="dxa"/>
              <w:end w:w="40" w:type="dxa"/>
              <w:left w:w="160" w:type="dxa"/>
              <w:right w:w="40" w:type="dxa"/>
            </w:tcMar>
            <w:vAlign w:val="center"/>
          </w:tcPr>
          <w:p>
            <w:r>
              <w:rPr>
                <w:rFonts w:ascii="Georgia" w:hAnsi="Georgia" w:cs="Georgia"/>
                <w:b/>
                <w:i w:val="0"/>
                <w:color w:val="16161A"/>
                <w:sz w:val="24"/>
              </w:rPr>
              <w:t>Илья Кириллин</w:t>
            </w:r>
          </w:p>
          <w:p>
            <w:pPr>
              <w:spacing w:before="0" w:after="80" w:line="276" w:lineRule="auto"/>
            </w:pPr>
            <w:r>
              <w:rPr>
                <w:rFonts w:ascii="Calibri" w:hAnsi="Calibri" w:cs="Calibri"/>
                <w:b w:val="0"/>
                <w:i w:val="0"/>
                <w:color w:val="8C887F"/>
                <w:sz w:val="19"/>
              </w:rPr>
              <w:t>Regional Manager · RB Factoring</w:t>
            </w:r>
          </w:p>
          <w:p>
            <w:pPr>
              <w:spacing w:before="0" w:after="0" w:line="312" w:lineRule="auto"/>
            </w:pPr>
            <w:r>
              <w:rPr>
                <w:rFonts w:ascii="Calibri" w:hAnsi="Calibri" w:cs="Calibri"/>
                <w:b w:val="0"/>
                <w:i w:val="0"/>
                <w:color w:val="3C3C44"/>
                <w:sz w:val="18"/>
              </w:rPr>
              <w:t xml:space="preserve">+7 926 090 23 15     </w:t>
            </w:r>
            <w:r>
              <w:rPr>
                <w:rFonts w:ascii="Calibri" w:hAnsi="Calibri" w:cs="Calibri"/>
                <w:b w:val="0"/>
                <w:i w:val="0"/>
                <w:color w:val="3C3C44"/>
                <w:sz w:val="18"/>
              </w:rPr>
              <w:t xml:space="preserve">i.a.kirillin@tbank.ru     </w:t>
            </w:r>
            <w:r>
              <w:rPr>
                <w:rFonts w:ascii="Calibri" w:hAnsi="Calibri" w:cs="Calibri"/>
                <w:b w:val="0"/>
                <w:i w:val="0"/>
                <w:color w:val="3C3C44"/>
                <w:sz w:val="18"/>
              </w:rPr>
              <w:t>www.tbank.ru</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6803"/>
            <w:tcMar>
              <w:top w:w="0" w:type="dxa"/>
              <w:bottom w:w="0" w:type="dxa"/>
              <w:start w:w="0" w:type="dxa"/>
              <w:end w:w="0" w:type="dxa"/>
              <w:left w:w="0" w:type="dxa"/>
              <w:right w:w="0" w:type="dxa"/>
            </w:tcMar>
          </w:tcPr>
          <w:p>
            <w:r>
              <w:drawing>
                <wp:inline xmlns:a="http://schemas.openxmlformats.org/drawingml/2006/main" xmlns:pic="http://schemas.openxmlformats.org/drawingml/2006/picture">
                  <wp:extent cx="616979" cy="252000"/>
                  <wp:docPr id="3" name="Picture 3"/>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16979" cy="252000"/>
                          </a:xfrm>
                          <a:prstGeom prst="rect"/>
                        </pic:spPr>
                      </pic:pic>
                    </a:graphicData>
                  </a:graphic>
                </wp:inline>
              </w:drawing>
            </w:r>
          </w:p>
        </w:tc>
        <w:tc>
          <w:tcPr>
            <w:tcW w:type="dxa" w:w="3061"/>
            <w:tcMar>
              <w:top w:w="0" w:type="dxa"/>
              <w:bottom w:w="0" w:type="dxa"/>
              <w:start w:w="0" w:type="dxa"/>
              <w:end w:w="0" w:type="dxa"/>
              <w:left w:w="0" w:type="dxa"/>
              <w:right w:w="0" w:type="dxa"/>
            </w:tcMar>
          </w:tcPr>
          <w:p>
            <w:pPr>
              <w:jc w:val="right"/>
            </w:pPr>
            <w:r>
              <w:rPr>
                <w:rFonts w:ascii="Calibri" w:hAnsi="Calibri" w:cs="Calibri"/>
                <w:b/>
                <w:i w:val="0"/>
                <w:color w:val="8C887F"/>
                <w:sz w:val="16"/>
                <w:spacing w:val="30"/>
              </w:rPr>
              <w:t>02 · VALUE FOR YOUR BUSINESS</w:t>
            </w:r>
          </w:p>
        </w:tc>
      </w:tr>
    </w:tbl>
    <w:p>
      <w:pPr>
        <w:spacing w:before="0" w:after="120" w:line="276" w:lineRule="auto"/>
        <w:pBdr>
          <w:bottom w:val="single" w:sz="6" w:space="1" w:color="E7E2D8"/>
        </w:pBdr>
      </w:pPr>
    </w:p>
    <w:p>
      <w:pPr>
        <w:spacing w:before="0" w:after="40" w:line="276" w:lineRule="auto"/>
      </w:pPr>
      <w:r>
        <w:rPr>
          <w:rFonts w:ascii="Calibri" w:hAnsi="Calibri" w:cs="Calibri"/>
          <w:b/>
          <w:i w:val="0"/>
          <w:color w:val="B0895A"/>
          <w:sz w:val="16"/>
          <w:spacing w:val="40"/>
        </w:rPr>
        <w:t>WHY FACTORING WITH RB FACTORING</w:t>
      </w:r>
    </w:p>
    <w:p>
      <w:pPr>
        <w:spacing w:before="0" w:after="200" w:line="276" w:lineRule="auto"/>
      </w:pPr>
      <w:r>
        <w:rPr>
          <w:rFonts w:ascii="Georgia" w:hAnsi="Georgia" w:cs="Georgia"/>
          <w:b/>
          <w:i w:val="0"/>
          <w:color w:val="16161A"/>
          <w:sz w:val="38"/>
        </w:rPr>
        <w:t>Working capital that fuels your growth</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01   </w:t>
            </w:r>
            <w:r>
              <w:rPr>
                <w:rFonts w:ascii="Georgia" w:hAnsi="Georgia" w:cs="Georgia"/>
                <w:b/>
                <w:i w:val="0"/>
                <w:color w:val="16161A"/>
                <w:sz w:val="23"/>
              </w:rPr>
              <w:t>Financing up to 100%</w:t>
            </w:r>
          </w:p>
          <w:p>
            <w:pPr>
              <w:spacing w:before="0" w:after="0" w:line="312" w:lineRule="auto"/>
            </w:pPr>
            <w:r>
              <w:rPr>
                <w:rFonts w:ascii="Calibri" w:hAnsi="Calibri" w:cs="Calibri"/>
                <w:b w:val="0"/>
                <w:i w:val="0"/>
                <w:color w:val="8C887F"/>
                <w:sz w:val="18"/>
              </w:rPr>
              <w:t>Cash for each delivery immediately — without waiting for buyer payment or tying up your own funds.</w:t>
            </w:r>
          </w:p>
        </w:tc>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02   </w:t>
            </w:r>
            <w:r>
              <w:rPr>
                <w:rFonts w:ascii="Georgia" w:hAnsi="Georgia" w:cs="Georgia"/>
                <w:b/>
                <w:i w:val="0"/>
                <w:color w:val="16161A"/>
                <w:sz w:val="23"/>
              </w:rPr>
              <w:t>Deferral up to 90 days</w:t>
            </w:r>
          </w:p>
          <w:p>
            <w:pPr>
              <w:spacing w:before="0" w:after="0" w:line="312" w:lineRule="auto"/>
            </w:pPr>
            <w:r>
              <w:rPr>
                <w:rFonts w:ascii="Calibri" w:hAnsi="Calibri" w:cs="Calibri"/>
                <w:b w:val="0"/>
                <w:i w:val="0"/>
                <w:color w:val="8C887F"/>
                <w:sz w:val="18"/>
              </w:rPr>
              <w:t>Offer your buyers comfortable payment terms and win tenders without sacrificing turnover.</w:t>
            </w:r>
          </w:p>
        </w:tc>
      </w:tr>
      <w:tr>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03   </w:t>
            </w:r>
            <w:r>
              <w:rPr>
                <w:rFonts w:ascii="Georgia" w:hAnsi="Georgia" w:cs="Georgia"/>
                <w:b/>
                <w:i w:val="0"/>
                <w:color w:val="16161A"/>
                <w:sz w:val="23"/>
              </w:rPr>
              <w:t>Protection from non-payment</w:t>
            </w:r>
          </w:p>
          <w:p>
            <w:pPr>
              <w:spacing w:before="0" w:after="0" w:line="312" w:lineRule="auto"/>
            </w:pPr>
            <w:r>
              <w:rPr>
                <w:rFonts w:ascii="Calibri" w:hAnsi="Calibri" w:cs="Calibri"/>
                <w:b w:val="0"/>
                <w:i w:val="0"/>
                <w:color w:val="8C887F"/>
                <w:sz w:val="18"/>
              </w:rPr>
              <w:t>Professional debtor assessment and risk management reduce the likelihood of cash-flow gaps.</w:t>
            </w:r>
          </w:p>
        </w:tc>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04   </w:t>
            </w:r>
            <w:r>
              <w:rPr>
                <w:rFonts w:ascii="Georgia" w:hAnsi="Georgia" w:cs="Georgia"/>
                <w:b/>
                <w:i w:val="0"/>
                <w:color w:val="16161A"/>
                <w:sz w:val="23"/>
              </w:rPr>
              <w:t>End-to-end receivables management</w:t>
            </w:r>
          </w:p>
          <w:p>
            <w:pPr>
              <w:spacing w:before="0" w:after="0" w:line="312" w:lineRule="auto"/>
            </w:pPr>
            <w:r>
              <w:rPr>
                <w:rFonts w:ascii="Calibri" w:hAnsi="Calibri" w:cs="Calibri"/>
                <w:b w:val="0"/>
                <w:i w:val="0"/>
                <w:color w:val="8C887F"/>
                <w:sz w:val="18"/>
              </w:rPr>
              <w:t>Deadline control, buyer reminders and transparent payment reporting — handled on our side.</w:t>
            </w:r>
          </w:p>
        </w:tc>
      </w:tr>
      <w:tr>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05   </w:t>
            </w:r>
            <w:r>
              <w:rPr>
                <w:rFonts w:ascii="Georgia" w:hAnsi="Georgia" w:cs="Georgia"/>
                <w:b/>
                <w:i w:val="0"/>
                <w:color w:val="16161A"/>
                <w:sz w:val="23"/>
              </w:rPr>
              <w:t>Decision within 10 days</w:t>
            </w:r>
          </w:p>
          <w:p>
            <w:pPr>
              <w:spacing w:before="0" w:after="0" w:line="312" w:lineRule="auto"/>
            </w:pPr>
            <w:r>
              <w:rPr>
                <w:rFonts w:ascii="Calibri" w:hAnsi="Calibri" w:cs="Calibri"/>
                <w:b w:val="0"/>
                <w:i w:val="0"/>
                <w:color w:val="8C887F"/>
                <w:sz w:val="18"/>
              </w:rPr>
              <w:t>A limit is set within 10 business days from submission of the complete document package.</w:t>
            </w:r>
          </w:p>
        </w:tc>
        <w:tc>
          <w:tcPr>
            <w:tcW w:type="dxa" w:w="4876"/>
            <w:tcMar>
              <w:top w:w="150" w:type="dxa"/>
              <w:bottom w:w="150" w:type="dxa"/>
              <w:start w:w="170" w:type="dxa"/>
              <w:end w:w="170" w:type="dxa"/>
              <w:left w:w="170" w:type="dxa"/>
              <w:right w:w="170" w:type="dxa"/>
            </w:tcMar>
            <w:shd w:val="clear" w:fill="FBF9F5"/>
          </w:tcPr>
          <w:p>
            <w:pPr>
              <w:spacing w:after="60"/>
            </w:pPr>
            <w:r>
              <w:rPr>
                <w:rFonts w:ascii="Georgia" w:hAnsi="Georgia" w:cs="Georgia"/>
                <w:b/>
                <w:i w:val="0"/>
                <w:color w:val="CBA86B"/>
                <w:sz w:val="20"/>
              </w:rPr>
              <w:t xml:space="preserve">06   </w:t>
            </w:r>
            <w:r>
              <w:rPr>
                <w:rFonts w:ascii="Georgia" w:hAnsi="Georgia" w:cs="Georgia"/>
                <w:b/>
                <w:i w:val="0"/>
                <w:color w:val="16161A"/>
                <w:sz w:val="23"/>
              </w:rPr>
              <w:t>Digital service in Factor portal</w:t>
            </w:r>
          </w:p>
          <w:p>
            <w:pPr>
              <w:spacing w:before="0" w:after="0" w:line="312" w:lineRule="auto"/>
            </w:pPr>
            <w:r>
              <w:rPr>
                <w:rFonts w:ascii="Calibri" w:hAnsi="Calibri" w:cs="Calibri"/>
                <w:b w:val="0"/>
                <w:i w:val="0"/>
                <w:color w:val="8C887F"/>
                <w:sz w:val="18"/>
              </w:rPr>
              <w:t>Electronic document flow, debtor verification and online monitoring of financing.</w:t>
            </w:r>
          </w:p>
        </w:tc>
      </w:tr>
    </w:tbl>
    <w:p>
      <w:pPr>
        <w:spacing w:before="0" w:after="12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89"/>
        <w:gridCol w:w="3289"/>
        <w:gridCol w:w="3289"/>
      </w:tblGrid>
      <w:tr>
        <w:tc>
          <w:tcPr>
            <w:tcW w:type="dxa" w:w="3288"/>
            <w:shd w:val="clear" w:fill="16161A"/>
            <w:tcMar>
              <w:top w:w="150" w:type="dxa"/>
              <w:bottom w:w="150" w:type="dxa"/>
              <w:start w:w="150" w:type="dxa"/>
              <w:end w:w="150" w:type="dxa"/>
              <w:left w:w="150" w:type="dxa"/>
              <w:right w:w="150" w:type="dxa"/>
            </w:tcMar>
          </w:tcPr>
          <w:p>
            <w:pPr>
              <w:spacing w:after="60"/>
            </w:pPr>
            <w:r>
              <w:rPr>
                <w:rFonts w:ascii="Georgia" w:hAnsi="Georgia" w:cs="Georgia"/>
                <w:b/>
                <w:i w:val="0"/>
                <w:color w:val="FFDD2D"/>
                <w:sz w:val="34"/>
              </w:rPr>
              <w:t>100 %</w:t>
            </w:r>
          </w:p>
          <w:p>
            <w:pPr>
              <w:spacing w:before="0" w:after="0" w:line="264" w:lineRule="auto"/>
            </w:pPr>
            <w:r>
              <w:rPr>
                <w:rFonts w:ascii="Calibri" w:hAnsi="Calibri" w:cs="Calibri"/>
                <w:b w:val="0"/>
                <w:i w:val="0"/>
                <w:color w:val="BBB7BF"/>
                <w:sz w:val="16"/>
              </w:rPr>
              <w:t>of the invoice amount</w:t>
            </w:r>
          </w:p>
        </w:tc>
        <w:tc>
          <w:tcPr>
            <w:tcW w:type="dxa" w:w="3288"/>
            <w:shd w:val="clear" w:fill="16161A"/>
            <w:tcMar>
              <w:top w:w="150" w:type="dxa"/>
              <w:bottom w:w="150" w:type="dxa"/>
              <w:start w:w="150" w:type="dxa"/>
              <w:end w:w="150" w:type="dxa"/>
              <w:left w:w="150" w:type="dxa"/>
              <w:right w:w="150" w:type="dxa"/>
            </w:tcMar>
          </w:tcPr>
          <w:p>
            <w:pPr>
              <w:spacing w:after="60"/>
            </w:pPr>
            <w:r>
              <w:rPr>
                <w:rFonts w:ascii="Georgia" w:hAnsi="Georgia" w:cs="Georgia"/>
                <w:b/>
                <w:i w:val="0"/>
                <w:color w:val="FFDD2D"/>
                <w:sz w:val="34"/>
              </w:rPr>
              <w:t>90 days</w:t>
            </w:r>
          </w:p>
          <w:p>
            <w:pPr>
              <w:spacing w:before="0" w:after="0" w:line="264" w:lineRule="auto"/>
            </w:pPr>
            <w:r>
              <w:rPr>
                <w:rFonts w:ascii="Calibri" w:hAnsi="Calibri" w:cs="Calibri"/>
                <w:b w:val="0"/>
                <w:i w:val="0"/>
                <w:color w:val="BBB7BF"/>
                <w:sz w:val="16"/>
              </w:rPr>
              <w:t>max payment deferral</w:t>
            </w:r>
          </w:p>
        </w:tc>
        <w:tc>
          <w:tcPr>
            <w:tcW w:type="dxa" w:w="3288"/>
            <w:shd w:val="clear" w:fill="16161A"/>
            <w:tcMar>
              <w:top w:w="150" w:type="dxa"/>
              <w:bottom w:w="150" w:type="dxa"/>
              <w:start w:w="150" w:type="dxa"/>
              <w:end w:w="150" w:type="dxa"/>
              <w:left w:w="150" w:type="dxa"/>
              <w:right w:w="150" w:type="dxa"/>
            </w:tcMar>
          </w:tcPr>
          <w:p>
            <w:pPr>
              <w:spacing w:after="60"/>
            </w:pPr>
            <w:r>
              <w:rPr>
                <w:rFonts w:ascii="Georgia" w:hAnsi="Georgia" w:cs="Georgia"/>
                <w:b/>
                <w:i w:val="0"/>
                <w:color w:val="FFDD2D"/>
                <w:sz w:val="34"/>
              </w:rPr>
              <w:t>70 bn RUB</w:t>
            </w:r>
          </w:p>
          <w:p>
            <w:pPr>
              <w:spacing w:before="0" w:after="0" w:line="264" w:lineRule="auto"/>
            </w:pPr>
            <w:r>
              <w:rPr>
                <w:rFonts w:ascii="Calibri" w:hAnsi="Calibri" w:cs="Calibri"/>
                <w:b w:val="0"/>
                <w:i w:val="0"/>
                <w:color w:val="BBB7BF"/>
                <w:sz w:val="16"/>
              </w:rPr>
              <w:t>available limit</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6803"/>
            <w:tcMar>
              <w:top w:w="0" w:type="dxa"/>
              <w:bottom w:w="0" w:type="dxa"/>
              <w:start w:w="0" w:type="dxa"/>
              <w:end w:w="0" w:type="dxa"/>
              <w:left w:w="0" w:type="dxa"/>
              <w:right w:w="0" w:type="dxa"/>
            </w:tcMar>
          </w:tcPr>
          <w:p>
            <w:r>
              <w:drawing>
                <wp:inline xmlns:a="http://schemas.openxmlformats.org/drawingml/2006/main" xmlns:pic="http://schemas.openxmlformats.org/drawingml/2006/picture">
                  <wp:extent cx="616979" cy="252000"/>
                  <wp:docPr id="4" name="Picture 4"/>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16979" cy="252000"/>
                          </a:xfrm>
                          <a:prstGeom prst="rect"/>
                        </pic:spPr>
                      </pic:pic>
                    </a:graphicData>
                  </a:graphic>
                </wp:inline>
              </w:drawing>
            </w:r>
          </w:p>
        </w:tc>
        <w:tc>
          <w:tcPr>
            <w:tcW w:type="dxa" w:w="3061"/>
            <w:tcMar>
              <w:top w:w="0" w:type="dxa"/>
              <w:bottom w:w="0" w:type="dxa"/>
              <w:start w:w="0" w:type="dxa"/>
              <w:end w:w="0" w:type="dxa"/>
              <w:left w:w="0" w:type="dxa"/>
              <w:right w:w="0" w:type="dxa"/>
            </w:tcMar>
          </w:tcPr>
          <w:p>
            <w:pPr>
              <w:jc w:val="right"/>
            </w:pPr>
            <w:r>
              <w:rPr>
                <w:rFonts w:ascii="Calibri" w:hAnsi="Calibri" w:cs="Calibri"/>
                <w:b/>
                <w:i w:val="0"/>
                <w:color w:val="8C887F"/>
                <w:sz w:val="16"/>
                <w:spacing w:val="30"/>
              </w:rPr>
              <w:t>03 · TERMS OF COOPERATION</w:t>
            </w:r>
          </w:p>
        </w:tc>
      </w:tr>
    </w:tbl>
    <w:p>
      <w:pPr>
        <w:spacing w:before="0" w:after="120" w:line="276" w:lineRule="auto"/>
        <w:pBdr>
          <w:bottom w:val="single" w:sz="6" w:space="1" w:color="E7E2D8"/>
        </w:pBdr>
      </w:pPr>
    </w:p>
    <w:p>
      <w:pPr>
        <w:spacing w:before="0" w:after="40" w:line="276" w:lineRule="auto"/>
      </w:pPr>
      <w:r>
        <w:rPr>
          <w:rFonts w:ascii="Calibri" w:hAnsi="Calibri" w:cs="Calibri"/>
          <w:b/>
          <w:i w:val="0"/>
          <w:color w:val="B0895A"/>
          <w:sz w:val="16"/>
          <w:spacing w:val="40"/>
        </w:rPr>
        <w:t>DEAL PARAMETERS</w:t>
      </w:r>
    </w:p>
    <w:p>
      <w:pPr>
        <w:spacing w:before="0" w:after="160" w:line="276" w:lineRule="auto"/>
      </w:pPr>
      <w:r>
        <w:rPr>
          <w:rFonts w:ascii="Georgia" w:hAnsi="Georgia" w:cs="Georgia"/>
          <w:b/>
          <w:i w:val="0"/>
          <w:color w:val="16161A"/>
          <w:sz w:val="38"/>
        </w:rPr>
        <w:t>Terms of Cooperation</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3288"/>
            <w:shd w:val="clear" w:fill="FFFFFF"/>
            <w:tcMar>
              <w:top w:w="90" w:type="dxa"/>
              <w:bottom w:w="90" w:type="dxa"/>
              <w:start w:w="150" w:type="dxa"/>
              <w:end w:w="120" w:type="dxa"/>
              <w:left w:w="150" w:type="dxa"/>
              <w:right w:w="120" w:type="dxa"/>
            </w:tcMar>
            <w:vAlign w:val="center"/>
          </w:tcPr>
          <w:p>
            <w:r>
              <w:rPr>
                <w:rFonts w:ascii="Calibri" w:hAnsi="Calibri" w:cs="Calibri"/>
                <w:b/>
                <w:i w:val="0"/>
                <w:color w:val="3C3C44"/>
                <w:sz w:val="18"/>
              </w:rPr>
              <w:t>Supplier</w:t>
            </w:r>
          </w:p>
        </w:tc>
        <w:tc>
          <w:tcPr>
            <w:tcW w:type="dxa" w:w="6576"/>
            <w:shd w:val="clear" w:fill="FFFFFF"/>
            <w:tcMar>
              <w:top w:w="90" w:type="dxa"/>
              <w:bottom w:w="90" w:type="dxa"/>
              <w:start w:w="140" w:type="dxa"/>
              <w:end w:w="150" w:type="dxa"/>
              <w:left w:w="140" w:type="dxa"/>
              <w:right w:w="150" w:type="dxa"/>
            </w:tcMar>
            <w:vAlign w:val="center"/>
          </w:tcPr>
          <w:p>
            <w:r>
              <w:rPr>
                <w:rFonts w:ascii="Calibri" w:hAnsi="Calibri" w:cs="Calibri"/>
                <w:b w:val="0"/>
                <w:i w:val="0"/>
                <w:color w:val="2A2A2E"/>
                <w:sz w:val="19"/>
              </w:rPr>
              <w:t>KONKORD LLC</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Factor</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ООО «РБ Факторинг»</w:t>
            </w:r>
          </w:p>
        </w:tc>
      </w:tr>
      <w:tr>
        <w:tc>
          <w:tcPr>
            <w:tcW w:type="dxa" w:w="3288"/>
            <w:shd w:val="clear" w:fill="FFFFFF"/>
            <w:tcMar>
              <w:top w:w="90" w:type="dxa"/>
              <w:bottom w:w="90" w:type="dxa"/>
              <w:start w:w="150" w:type="dxa"/>
              <w:end w:w="120" w:type="dxa"/>
              <w:left w:w="150" w:type="dxa"/>
              <w:right w:w="120" w:type="dxa"/>
            </w:tcMar>
            <w:vAlign w:val="center"/>
          </w:tcPr>
          <w:p>
            <w:r>
              <w:rPr>
                <w:rFonts w:ascii="Calibri" w:hAnsi="Calibri" w:cs="Calibri"/>
                <w:b/>
                <w:i w:val="0"/>
                <w:color w:val="3C3C44"/>
                <w:sz w:val="18"/>
              </w:rPr>
              <w:t>Debtors</w:t>
            </w:r>
          </w:p>
        </w:tc>
        <w:tc>
          <w:tcPr>
            <w:tcW w:type="dxa" w:w="6576"/>
            <w:shd w:val="clear" w:fill="FFFFFF"/>
            <w:tcMar>
              <w:top w:w="90" w:type="dxa"/>
              <w:bottom w:w="90" w:type="dxa"/>
              <w:start w:w="140" w:type="dxa"/>
              <w:end w:w="150" w:type="dxa"/>
              <w:left w:w="140" w:type="dxa"/>
              <w:right w:w="150" w:type="dxa"/>
            </w:tcMar>
            <w:vAlign w:val="center"/>
          </w:tcPr>
          <w:p>
            <w:r>
              <w:rPr>
                <w:rFonts w:ascii="Calibri" w:hAnsi="Calibri" w:cs="Calibri"/>
                <w:b w:val="0"/>
                <w:i w:val="0"/>
                <w:color w:val="2A2A2E"/>
                <w:sz w:val="19"/>
              </w:rPr>
              <w:t>VSEINSTRUMENTY.RU LLC</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Factoring type</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Factoring with recourse</w:t>
            </w:r>
          </w:p>
        </w:tc>
      </w:tr>
      <w:tr>
        <w:tc>
          <w:tcPr>
            <w:tcW w:type="dxa" w:w="3288"/>
            <w:shd w:val="clear" w:fill="F6EEE0"/>
            <w:tcMar>
              <w:top w:w="90" w:type="dxa"/>
              <w:bottom w:w="90" w:type="dxa"/>
              <w:start w:w="150" w:type="dxa"/>
              <w:end w:w="120" w:type="dxa"/>
              <w:left w:w="150" w:type="dxa"/>
              <w:right w:w="120" w:type="dxa"/>
            </w:tcMar>
            <w:vAlign w:val="center"/>
          </w:tcPr>
          <w:p>
            <w:r>
              <w:rPr>
                <w:rFonts w:ascii="Calibri" w:hAnsi="Calibri" w:cs="Calibri"/>
                <w:b/>
                <w:i w:val="0"/>
                <w:color w:val="8C6F45"/>
                <w:sz w:val="18"/>
              </w:rPr>
              <w:t>Financing</w:t>
            </w:r>
          </w:p>
        </w:tc>
        <w:tc>
          <w:tcPr>
            <w:tcW w:type="dxa" w:w="6576"/>
            <w:shd w:val="clear" w:fill="F6EEE0"/>
            <w:tcMar>
              <w:top w:w="90" w:type="dxa"/>
              <w:bottom w:w="90" w:type="dxa"/>
              <w:start w:w="140" w:type="dxa"/>
              <w:end w:w="150" w:type="dxa"/>
              <w:left w:w="140" w:type="dxa"/>
              <w:right w:w="150" w:type="dxa"/>
            </w:tcMar>
            <w:vAlign w:val="center"/>
          </w:tcPr>
          <w:p>
            <w:r>
              <w:rPr>
                <w:rFonts w:ascii="Calibri" w:hAnsi="Calibri" w:cs="Calibri"/>
                <w:b/>
                <w:i w:val="0"/>
                <w:color w:val="16161A"/>
                <w:sz w:val="19"/>
              </w:rPr>
              <w:t>100% of the invoice amount (determined by the analysis)</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Payment deferral</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up to 90 calendar days (in line with the contractual deferral)</w:t>
            </w:r>
          </w:p>
        </w:tc>
      </w:tr>
      <w:tr>
        <w:tc>
          <w:tcPr>
            <w:tcW w:type="dxa" w:w="3288"/>
            <w:shd w:val="clear" w:fill="FFFFFF"/>
            <w:tcMar>
              <w:top w:w="90" w:type="dxa"/>
              <w:bottom w:w="90" w:type="dxa"/>
              <w:start w:w="150" w:type="dxa"/>
              <w:end w:w="120" w:type="dxa"/>
              <w:left w:w="150" w:type="dxa"/>
              <w:right w:w="120" w:type="dxa"/>
            </w:tcMar>
            <w:vAlign w:val="center"/>
          </w:tcPr>
          <w:p>
            <w:r>
              <w:rPr>
                <w:rFonts w:ascii="Calibri" w:hAnsi="Calibri" w:cs="Calibri"/>
                <w:b/>
                <w:i w:val="0"/>
                <w:color w:val="3C3C44"/>
                <w:sz w:val="18"/>
              </w:rPr>
              <w:t>Currency</w:t>
            </w:r>
          </w:p>
        </w:tc>
        <w:tc>
          <w:tcPr>
            <w:tcW w:type="dxa" w:w="6576"/>
            <w:shd w:val="clear" w:fill="FFFFFF"/>
            <w:tcMar>
              <w:top w:w="90" w:type="dxa"/>
              <w:bottom w:w="90" w:type="dxa"/>
              <w:start w:w="140" w:type="dxa"/>
              <w:end w:w="150" w:type="dxa"/>
              <w:left w:w="140" w:type="dxa"/>
              <w:right w:w="150" w:type="dxa"/>
            </w:tcMar>
            <w:vAlign w:val="center"/>
          </w:tcPr>
          <w:p>
            <w:r>
              <w:rPr>
                <w:rFonts w:ascii="Calibri" w:hAnsi="Calibri" w:cs="Calibri"/>
                <w:b w:val="0"/>
                <w:i w:val="0"/>
                <w:color w:val="2A2A2E"/>
                <w:sz w:val="19"/>
              </w:rPr>
              <w:t>Russian Rouble (RUB)</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Financing scheme</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Via the Factor portal + debtor verification · for a limit from RUB 70 bn</w:t>
            </w:r>
          </w:p>
        </w:tc>
      </w:tr>
      <w:tr>
        <w:tc>
          <w:tcPr>
            <w:tcW w:type="dxa" w:w="3288"/>
            <w:shd w:val="clear" w:fill="F6EEE0"/>
            <w:tcMar>
              <w:top w:w="90" w:type="dxa"/>
              <w:bottom w:w="90" w:type="dxa"/>
              <w:start w:w="150" w:type="dxa"/>
              <w:end w:w="120" w:type="dxa"/>
              <w:left w:w="150" w:type="dxa"/>
              <w:right w:w="120" w:type="dxa"/>
            </w:tcMar>
            <w:vAlign w:val="center"/>
          </w:tcPr>
          <w:p>
            <w:r>
              <w:rPr>
                <w:rFonts w:ascii="Calibri" w:hAnsi="Calibri" w:cs="Calibri"/>
                <w:b/>
                <w:i w:val="0"/>
                <w:color w:val="8C6F45"/>
                <w:sz w:val="18"/>
              </w:rPr>
              <w:t>Funding commission *</w:t>
            </w:r>
          </w:p>
        </w:tc>
        <w:tc>
          <w:tcPr>
            <w:tcW w:type="dxa" w:w="6576"/>
            <w:shd w:val="clear" w:fill="F6EEE0"/>
            <w:tcMar>
              <w:top w:w="90" w:type="dxa"/>
              <w:bottom w:w="90" w:type="dxa"/>
              <w:start w:w="140" w:type="dxa"/>
              <w:end w:w="150" w:type="dxa"/>
              <w:left w:w="140" w:type="dxa"/>
              <w:right w:w="150" w:type="dxa"/>
            </w:tcMar>
            <w:vAlign w:val="center"/>
          </w:tcPr>
          <w:p>
            <w:r>
              <w:rPr>
                <w:rFonts w:ascii="Calibri" w:hAnsi="Calibri" w:cs="Calibri"/>
                <w:b/>
                <w:i w:val="0"/>
                <w:color w:val="16161A"/>
                <w:sz w:val="19"/>
              </w:rPr>
              <w:t>CBR key rate ** + 3.9% p.a.</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Factoring fee *</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0.15% of the invoice (UPD) amount</w:t>
            </w:r>
          </w:p>
        </w:tc>
      </w:tr>
      <w:tr>
        <w:tc>
          <w:tcPr>
            <w:tcW w:type="dxa" w:w="3288"/>
            <w:shd w:val="clear" w:fill="FFFFFF"/>
            <w:tcMar>
              <w:top w:w="90" w:type="dxa"/>
              <w:bottom w:w="90" w:type="dxa"/>
              <w:start w:w="150" w:type="dxa"/>
              <w:end w:w="120" w:type="dxa"/>
              <w:left w:w="150" w:type="dxa"/>
              <w:right w:w="120" w:type="dxa"/>
            </w:tcMar>
            <w:vAlign w:val="center"/>
          </w:tcPr>
          <w:p>
            <w:r>
              <w:rPr>
                <w:rFonts w:ascii="Calibri" w:hAnsi="Calibri" w:cs="Calibri"/>
                <w:b/>
                <w:i w:val="0"/>
                <w:color w:val="3C3C44"/>
                <w:sz w:val="18"/>
              </w:rPr>
              <w:t>Governing law / jurisdiction</w:t>
            </w:r>
          </w:p>
        </w:tc>
        <w:tc>
          <w:tcPr>
            <w:tcW w:type="dxa" w:w="6576"/>
            <w:shd w:val="clear" w:fill="FFFFFF"/>
            <w:tcMar>
              <w:top w:w="90" w:type="dxa"/>
              <w:bottom w:w="90" w:type="dxa"/>
              <w:start w:w="140" w:type="dxa"/>
              <w:end w:w="150" w:type="dxa"/>
              <w:left w:w="140" w:type="dxa"/>
              <w:right w:w="150" w:type="dxa"/>
            </w:tcMar>
            <w:vAlign w:val="center"/>
          </w:tcPr>
          <w:p>
            <w:r>
              <w:rPr>
                <w:rFonts w:ascii="Calibri" w:hAnsi="Calibri" w:cs="Calibri"/>
                <w:b w:val="0"/>
                <w:i w:val="0"/>
                <w:color w:val="2A2A2E"/>
                <w:sz w:val="19"/>
              </w:rPr>
              <w:t>Moscow Arbitration Court · laws of the Russian Federation</w:t>
            </w:r>
          </w:p>
        </w:tc>
      </w:tr>
      <w:tr>
        <w:tc>
          <w:tcPr>
            <w:tcW w:type="dxa" w:w="3288"/>
            <w:shd w:val="clear" w:fill="FBF9F5"/>
            <w:tcMar>
              <w:top w:w="90" w:type="dxa"/>
              <w:bottom w:w="90" w:type="dxa"/>
              <w:start w:w="150" w:type="dxa"/>
              <w:end w:w="120" w:type="dxa"/>
              <w:left w:w="150" w:type="dxa"/>
              <w:right w:w="120" w:type="dxa"/>
            </w:tcMar>
            <w:vAlign w:val="center"/>
          </w:tcPr>
          <w:p>
            <w:r>
              <w:rPr>
                <w:rFonts w:ascii="Calibri" w:hAnsi="Calibri" w:cs="Calibri"/>
                <w:b/>
                <w:i w:val="0"/>
                <w:color w:val="3C3C44"/>
                <w:sz w:val="18"/>
              </w:rPr>
              <w:t>Limit approval timeline</w:t>
            </w:r>
          </w:p>
        </w:tc>
        <w:tc>
          <w:tcPr>
            <w:tcW w:type="dxa" w:w="6576"/>
            <w:shd w:val="clear" w:fill="FBF9F5"/>
            <w:tcMar>
              <w:top w:w="90" w:type="dxa"/>
              <w:bottom w:w="90" w:type="dxa"/>
              <w:start w:w="140" w:type="dxa"/>
              <w:end w:w="150" w:type="dxa"/>
              <w:left w:w="140" w:type="dxa"/>
              <w:right w:w="150" w:type="dxa"/>
            </w:tcMar>
            <w:vAlign w:val="center"/>
          </w:tcPr>
          <w:p>
            <w:r>
              <w:rPr>
                <w:rFonts w:ascii="Calibri" w:hAnsi="Calibri" w:cs="Calibri"/>
                <w:b w:val="0"/>
                <w:i w:val="0"/>
                <w:color w:val="2A2A2E"/>
                <w:sz w:val="19"/>
              </w:rPr>
              <w:t>up to 10 business days from submission of the complete document package</w:t>
            </w:r>
          </w:p>
        </w:tc>
      </w:tr>
    </w:tbl>
    <w:p>
      <w:pPr>
        <w:spacing w:before="0" w:after="80" w:line="276" w:lineRule="auto"/>
      </w:pPr>
    </w:p>
    <w:p>
      <w:pPr>
        <w:spacing w:before="0" w:after="60" w:line="312" w:lineRule="auto"/>
      </w:pPr>
      <w:r>
        <w:rPr>
          <w:rFonts w:ascii="Calibri" w:hAnsi="Calibri" w:cs="Calibri"/>
          <w:b w:val="0"/>
          <w:i w:val="0"/>
          <w:color w:val="8C887F"/>
          <w:sz w:val="15"/>
        </w:rPr>
        <w:t>*  Fees are stated exclusive of VAT.</w:t>
      </w:r>
    </w:p>
    <w:p>
      <w:pPr>
        <w:spacing w:before="0" w:after="0" w:line="312" w:lineRule="auto"/>
      </w:pPr>
      <w:r>
        <w:rPr>
          <w:rFonts w:ascii="Calibri" w:hAnsi="Calibri" w:cs="Calibri"/>
          <w:b w:val="0"/>
          <w:i w:val="0"/>
          <w:color w:val="8C887F"/>
          <w:sz w:val="15"/>
        </w:rPr>
        <w:t>**  The Bank of Russia key rate is fixed when the Agreement is concluded and applies until it changes in the manner established by law. Should the key rate change, the funding commission rates change automatically from the day following the announcement.</w:t>
      </w:r>
    </w:p>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6803"/>
            <w:tcMar>
              <w:top w:w="0" w:type="dxa"/>
              <w:bottom w:w="0" w:type="dxa"/>
              <w:start w:w="0" w:type="dxa"/>
              <w:end w:w="0" w:type="dxa"/>
              <w:left w:w="0" w:type="dxa"/>
              <w:right w:w="0" w:type="dxa"/>
            </w:tcMar>
          </w:tcPr>
          <w:p>
            <w:r>
              <w:drawing>
                <wp:inline xmlns:a="http://schemas.openxmlformats.org/drawingml/2006/main" xmlns:pic="http://schemas.openxmlformats.org/drawingml/2006/picture">
                  <wp:extent cx="616979" cy="252000"/>
                  <wp:docPr id="5" name="Picture 5"/>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16979" cy="252000"/>
                          </a:xfrm>
                          <a:prstGeom prst="rect"/>
                        </pic:spPr>
                      </pic:pic>
                    </a:graphicData>
                  </a:graphic>
                </wp:inline>
              </w:drawing>
            </w:r>
          </w:p>
        </w:tc>
        <w:tc>
          <w:tcPr>
            <w:tcW w:type="dxa" w:w="3061"/>
            <w:tcMar>
              <w:top w:w="0" w:type="dxa"/>
              <w:bottom w:w="0" w:type="dxa"/>
              <w:start w:w="0" w:type="dxa"/>
              <w:end w:w="0" w:type="dxa"/>
              <w:left w:w="0" w:type="dxa"/>
              <w:right w:w="0" w:type="dxa"/>
            </w:tcMar>
          </w:tcPr>
          <w:p>
            <w:pPr>
              <w:jc w:val="right"/>
            </w:pPr>
            <w:r>
              <w:rPr>
                <w:rFonts w:ascii="Calibri" w:hAnsi="Calibri" w:cs="Calibri"/>
                <w:b/>
                <w:i w:val="0"/>
                <w:color w:val="8C887F"/>
                <w:sz w:val="16"/>
                <w:spacing w:val="30"/>
              </w:rPr>
              <w:t>04 · TARIFF GRID</w:t>
            </w:r>
          </w:p>
        </w:tc>
      </w:tr>
    </w:tbl>
    <w:p>
      <w:pPr>
        <w:spacing w:before="0" w:after="120" w:line="276" w:lineRule="auto"/>
        <w:pBdr>
          <w:bottom w:val="single" w:sz="6" w:space="1" w:color="E7E2D8"/>
        </w:pBdr>
      </w:pPr>
    </w:p>
    <w:p>
      <w:pPr>
        <w:spacing w:before="0" w:after="40" w:line="276" w:lineRule="auto"/>
      </w:pPr>
      <w:r>
        <w:rPr>
          <w:rFonts w:ascii="Calibri" w:hAnsi="Calibri" w:cs="Calibri"/>
          <w:b/>
          <w:i w:val="0"/>
          <w:color w:val="B0895A"/>
          <w:sz w:val="16"/>
          <w:spacing w:val="40"/>
        </w:rPr>
        <w:t>TERMS BY LIMIT VOLUME</w:t>
      </w:r>
    </w:p>
    <w:p>
      <w:pPr>
        <w:spacing w:before="0" w:after="80" w:line="276" w:lineRule="auto"/>
      </w:pPr>
      <w:r>
        <w:rPr>
          <w:rFonts w:ascii="Georgia" w:hAnsi="Georgia" w:cs="Georgia"/>
          <w:b/>
          <w:i w:val="0"/>
          <w:color w:val="16161A"/>
          <w:sz w:val="38"/>
        </w:rPr>
        <w:t>Tariffs for different limits</w:t>
      </w:r>
    </w:p>
    <w:p>
      <w:pPr>
        <w:spacing w:before="0" w:after="160" w:line="324" w:lineRule="auto"/>
      </w:pPr>
      <w:r>
        <w:rPr>
          <w:rFonts w:ascii="Calibri" w:hAnsi="Calibri" w:cs="Calibri"/>
          <w:b w:val="0"/>
          <w:i w:val="0"/>
          <w:color w:val="8C887F"/>
          <w:sz w:val="20"/>
        </w:rPr>
        <w:t>Rates decrease as the volume of assigned receivables grows. Below is an indicative grid; final terms are fixed based on the results of the analysis.</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466"/>
        <w:gridCol w:w="2466"/>
        <w:gridCol w:w="2466"/>
        <w:gridCol w:w="2466"/>
      </w:tblGrid>
      <w:tr>
        <w:tc>
          <w:tcPr>
            <w:tcW w:type="dxa" w:w="3175"/>
            <w:shd w:val="clear" w:fill="16161A"/>
            <w:tcMar>
              <w:top w:w="100" w:type="dxa"/>
              <w:bottom w:w="100" w:type="dxa"/>
              <w:start w:w="120" w:type="dxa"/>
              <w:end w:w="120" w:type="dxa"/>
              <w:left w:w="120" w:type="dxa"/>
              <w:right w:w="120" w:type="dxa"/>
            </w:tcMar>
            <w:vAlign w:val="center"/>
          </w:tcPr>
          <w:p>
            <w:r>
              <w:rPr>
                <w:rFonts w:ascii="Calibri" w:hAnsi="Calibri" w:cs="Calibri"/>
                <w:b/>
                <w:i w:val="0"/>
                <w:color w:val="CBA86B"/>
                <w:sz w:val="15"/>
                <w:spacing w:val="20"/>
              </w:rPr>
              <w:t>Limit volume</w:t>
            </w:r>
          </w:p>
        </w:tc>
        <w:tc>
          <w:tcPr>
            <w:tcW w:type="dxa" w:w="1928"/>
            <w:shd w:val="clear" w:fill="16161A"/>
            <w:tcMar>
              <w:top w:w="100" w:type="dxa"/>
              <w:bottom w:w="100" w:type="dxa"/>
              <w:start w:w="120" w:type="dxa"/>
              <w:end w:w="120" w:type="dxa"/>
              <w:left w:w="120" w:type="dxa"/>
              <w:right w:w="120" w:type="dxa"/>
            </w:tcMar>
            <w:vAlign w:val="center"/>
          </w:tcPr>
          <w:p>
            <w:r>
              <w:rPr>
                <w:rFonts w:ascii="Calibri" w:hAnsi="Calibri" w:cs="Calibri"/>
                <w:b/>
                <w:i w:val="0"/>
                <w:color w:val="CBA86B"/>
                <w:sz w:val="15"/>
                <w:spacing w:val="20"/>
              </w:rPr>
              <w:t>Financing</w:t>
            </w:r>
          </w:p>
        </w:tc>
        <w:tc>
          <w:tcPr>
            <w:tcW w:type="dxa" w:w="2608"/>
            <w:shd w:val="clear" w:fill="16161A"/>
            <w:tcMar>
              <w:top w:w="100" w:type="dxa"/>
              <w:bottom w:w="100" w:type="dxa"/>
              <w:start w:w="120" w:type="dxa"/>
              <w:end w:w="120" w:type="dxa"/>
              <w:left w:w="120" w:type="dxa"/>
              <w:right w:w="120" w:type="dxa"/>
            </w:tcMar>
            <w:vAlign w:val="center"/>
          </w:tcPr>
          <w:p>
            <w:r>
              <w:rPr>
                <w:rFonts w:ascii="Calibri" w:hAnsi="Calibri" w:cs="Calibri"/>
                <w:b/>
                <w:i w:val="0"/>
                <w:color w:val="CBA86B"/>
                <w:sz w:val="15"/>
                <w:spacing w:val="20"/>
              </w:rPr>
              <w:t>Funding rate</w:t>
            </w:r>
          </w:p>
        </w:tc>
        <w:tc>
          <w:tcPr>
            <w:tcW w:type="dxa" w:w="2154"/>
            <w:shd w:val="clear" w:fill="16161A"/>
            <w:tcMar>
              <w:top w:w="100" w:type="dxa"/>
              <w:bottom w:w="100" w:type="dxa"/>
              <w:start w:w="120" w:type="dxa"/>
              <w:end w:w="120" w:type="dxa"/>
              <w:left w:w="120" w:type="dxa"/>
              <w:right w:w="120" w:type="dxa"/>
            </w:tcMar>
            <w:vAlign w:val="center"/>
          </w:tcPr>
          <w:p>
            <w:r>
              <w:rPr>
                <w:rFonts w:ascii="Calibri" w:hAnsi="Calibri" w:cs="Calibri"/>
                <w:b/>
                <w:i w:val="0"/>
                <w:color w:val="CBA86B"/>
                <w:sz w:val="15"/>
                <w:spacing w:val="20"/>
              </w:rPr>
              <w:t>Factoring fee</w:t>
            </w:r>
          </w:p>
        </w:tc>
      </w:tr>
      <w:tr>
        <w:tc>
          <w:tcPr>
            <w:tcW w:type="dxa" w:w="3175"/>
            <w:shd w:val="clear" w:fill="FFFFFF"/>
            <w:tcMar>
              <w:top w:w="120" w:type="dxa"/>
              <w:bottom w:w="120" w:type="dxa"/>
              <w:start w:w="120" w:type="dxa"/>
              <w:end w:w="110" w:type="dxa"/>
              <w:left w:w="120" w:type="dxa"/>
              <w:right w:w="110" w:type="dxa"/>
            </w:tcMar>
            <w:vAlign w:val="center"/>
          </w:tcPr>
          <w:p>
            <w:r>
              <w:rPr>
                <w:rFonts w:ascii="Georgia" w:hAnsi="Georgia" w:cs="Georgia"/>
                <w:b/>
                <w:i w:val="0"/>
                <w:color w:val="16161A"/>
                <w:sz w:val="18"/>
              </w:rPr>
              <w:t>up to RUB 100 m</w:t>
            </w:r>
          </w:p>
        </w:tc>
        <w:tc>
          <w:tcPr>
            <w:tcW w:type="dxa" w:w="1928"/>
            <w:shd w:val="clear" w:fill="FFFFFF"/>
            <w:tcMar>
              <w:top w:w="120" w:type="dxa"/>
              <w:bottom w:w="120" w:type="dxa"/>
              <w:start w:w="120" w:type="dxa"/>
              <w:end w:w="110" w:type="dxa"/>
              <w:left w:w="120" w:type="dxa"/>
              <w:right w:w="110" w:type="dxa"/>
            </w:tcMar>
            <w:vAlign w:val="center"/>
          </w:tcPr>
          <w:p>
            <w:r>
              <w:rPr>
                <w:rFonts w:ascii="Georgia" w:hAnsi="Georgia" w:cs="Georgia"/>
                <w:b/>
                <w:i w:val="0"/>
                <w:color w:val="8C6F45"/>
                <w:sz w:val="22"/>
              </w:rPr>
              <w:t>up to 90%</w:t>
            </w:r>
          </w:p>
        </w:tc>
        <w:tc>
          <w:tcPr>
            <w:tcW w:type="dxa" w:w="2608"/>
            <w:shd w:val="clear" w:fill="FFFFFF"/>
            <w:tcMar>
              <w:top w:w="120" w:type="dxa"/>
              <w:bottom w:w="120" w:type="dxa"/>
              <w:start w:w="120" w:type="dxa"/>
              <w:end w:w="110" w:type="dxa"/>
              <w:left w:w="120" w:type="dxa"/>
              <w:right w:w="110" w:type="dxa"/>
            </w:tcMar>
            <w:vAlign w:val="center"/>
          </w:tcPr>
          <w:p>
            <w:r>
              <w:rPr>
                <w:rFonts w:ascii="Calibri" w:hAnsi="Calibri" w:cs="Calibri"/>
                <w:b w:val="0"/>
                <w:i w:val="0"/>
                <w:color w:val="2A2A2E"/>
                <w:sz w:val="18"/>
              </w:rPr>
              <w:t>key rate + 6.0%</w:t>
            </w:r>
          </w:p>
        </w:tc>
        <w:tc>
          <w:tcPr>
            <w:tcW w:type="dxa" w:w="2154"/>
            <w:shd w:val="clear" w:fill="FFFFFF"/>
            <w:tcMar>
              <w:top w:w="120" w:type="dxa"/>
              <w:bottom w:w="120" w:type="dxa"/>
              <w:start w:w="120" w:type="dxa"/>
              <w:end w:w="110" w:type="dxa"/>
              <w:left w:w="120" w:type="dxa"/>
              <w:right w:w="110" w:type="dxa"/>
            </w:tcMar>
            <w:vAlign w:val="center"/>
          </w:tcPr>
          <w:p>
            <w:r>
              <w:rPr>
                <w:rFonts w:ascii="Calibri" w:hAnsi="Calibri" w:cs="Calibri"/>
                <w:b/>
                <w:i w:val="0"/>
                <w:color w:val="16161A"/>
                <w:sz w:val="19"/>
              </w:rPr>
              <w:t>0.40%</w:t>
            </w:r>
          </w:p>
        </w:tc>
      </w:tr>
      <w:tr>
        <w:tc>
          <w:tcPr>
            <w:tcW w:type="dxa" w:w="3175"/>
            <w:shd w:val="clear" w:fill="FBF9F5"/>
            <w:tcMar>
              <w:top w:w="120" w:type="dxa"/>
              <w:bottom w:w="120" w:type="dxa"/>
              <w:start w:w="120" w:type="dxa"/>
              <w:end w:w="110" w:type="dxa"/>
              <w:left w:w="120" w:type="dxa"/>
              <w:right w:w="110" w:type="dxa"/>
            </w:tcMar>
            <w:vAlign w:val="center"/>
          </w:tcPr>
          <w:p>
            <w:r>
              <w:rPr>
                <w:rFonts w:ascii="Georgia" w:hAnsi="Georgia" w:cs="Georgia"/>
                <w:b/>
                <w:i w:val="0"/>
                <w:color w:val="16161A"/>
                <w:sz w:val="18"/>
              </w:rPr>
              <w:t>RUB 100 m – 1 bn</w:t>
            </w:r>
          </w:p>
        </w:tc>
        <w:tc>
          <w:tcPr>
            <w:tcW w:type="dxa" w:w="1928"/>
            <w:shd w:val="clear" w:fill="FBF9F5"/>
            <w:tcMar>
              <w:top w:w="120" w:type="dxa"/>
              <w:bottom w:w="120" w:type="dxa"/>
              <w:start w:w="120" w:type="dxa"/>
              <w:end w:w="110" w:type="dxa"/>
              <w:left w:w="120" w:type="dxa"/>
              <w:right w:w="110" w:type="dxa"/>
            </w:tcMar>
            <w:vAlign w:val="center"/>
          </w:tcPr>
          <w:p>
            <w:r>
              <w:rPr>
                <w:rFonts w:ascii="Georgia" w:hAnsi="Georgia" w:cs="Georgia"/>
                <w:b/>
                <w:i w:val="0"/>
                <w:color w:val="8C6F45"/>
                <w:sz w:val="22"/>
              </w:rPr>
              <w:t>up to 95%</w:t>
            </w:r>
          </w:p>
        </w:tc>
        <w:tc>
          <w:tcPr>
            <w:tcW w:type="dxa" w:w="2608"/>
            <w:shd w:val="clear" w:fill="FBF9F5"/>
            <w:tcMar>
              <w:top w:w="120" w:type="dxa"/>
              <w:bottom w:w="120" w:type="dxa"/>
              <w:start w:w="120" w:type="dxa"/>
              <w:end w:w="110" w:type="dxa"/>
              <w:left w:w="120" w:type="dxa"/>
              <w:right w:w="110" w:type="dxa"/>
            </w:tcMar>
            <w:vAlign w:val="center"/>
          </w:tcPr>
          <w:p>
            <w:r>
              <w:rPr>
                <w:rFonts w:ascii="Calibri" w:hAnsi="Calibri" w:cs="Calibri"/>
                <w:b w:val="0"/>
                <w:i w:val="0"/>
                <w:color w:val="2A2A2E"/>
                <w:sz w:val="18"/>
              </w:rPr>
              <w:t>key rate + 5.0%</w:t>
            </w:r>
          </w:p>
        </w:tc>
        <w:tc>
          <w:tcPr>
            <w:tcW w:type="dxa" w:w="2154"/>
            <w:shd w:val="clear" w:fill="FBF9F5"/>
            <w:tcMar>
              <w:top w:w="120" w:type="dxa"/>
              <w:bottom w:w="120" w:type="dxa"/>
              <w:start w:w="120" w:type="dxa"/>
              <w:end w:w="110" w:type="dxa"/>
              <w:left w:w="120" w:type="dxa"/>
              <w:right w:w="110" w:type="dxa"/>
            </w:tcMar>
            <w:vAlign w:val="center"/>
          </w:tcPr>
          <w:p>
            <w:r>
              <w:rPr>
                <w:rFonts w:ascii="Calibri" w:hAnsi="Calibri" w:cs="Calibri"/>
                <w:b/>
                <w:i w:val="0"/>
                <w:color w:val="16161A"/>
                <w:sz w:val="19"/>
              </w:rPr>
              <w:t>0.30%</w:t>
            </w:r>
          </w:p>
        </w:tc>
      </w:tr>
      <w:tr>
        <w:tc>
          <w:tcPr>
            <w:tcW w:type="dxa" w:w="3175"/>
            <w:shd w:val="clear" w:fill="FFFFFF"/>
            <w:tcMar>
              <w:top w:w="120" w:type="dxa"/>
              <w:bottom w:w="120" w:type="dxa"/>
              <w:start w:w="120" w:type="dxa"/>
              <w:end w:w="110" w:type="dxa"/>
              <w:left w:w="120" w:type="dxa"/>
              <w:right w:w="110" w:type="dxa"/>
            </w:tcMar>
            <w:vAlign w:val="center"/>
          </w:tcPr>
          <w:p>
            <w:r>
              <w:rPr>
                <w:rFonts w:ascii="Georgia" w:hAnsi="Georgia" w:cs="Georgia"/>
                <w:b/>
                <w:i w:val="0"/>
                <w:color w:val="16161A"/>
                <w:sz w:val="18"/>
              </w:rPr>
              <w:t>RUB 1 – 10 bn</w:t>
            </w:r>
          </w:p>
        </w:tc>
        <w:tc>
          <w:tcPr>
            <w:tcW w:type="dxa" w:w="1928"/>
            <w:shd w:val="clear" w:fill="FFFFFF"/>
            <w:tcMar>
              <w:top w:w="120" w:type="dxa"/>
              <w:bottom w:w="120" w:type="dxa"/>
              <w:start w:w="120" w:type="dxa"/>
              <w:end w:w="110" w:type="dxa"/>
              <w:left w:w="120" w:type="dxa"/>
              <w:right w:w="110" w:type="dxa"/>
            </w:tcMar>
            <w:vAlign w:val="center"/>
          </w:tcPr>
          <w:p>
            <w:r>
              <w:rPr>
                <w:rFonts w:ascii="Georgia" w:hAnsi="Georgia" w:cs="Georgia"/>
                <w:b/>
                <w:i w:val="0"/>
                <w:color w:val="8C6F45"/>
                <w:sz w:val="22"/>
              </w:rPr>
              <w:t>up to 100%</w:t>
            </w:r>
          </w:p>
        </w:tc>
        <w:tc>
          <w:tcPr>
            <w:tcW w:type="dxa" w:w="2608"/>
            <w:shd w:val="clear" w:fill="FFFFFF"/>
            <w:tcMar>
              <w:top w:w="120" w:type="dxa"/>
              <w:bottom w:w="120" w:type="dxa"/>
              <w:start w:w="120" w:type="dxa"/>
              <w:end w:w="110" w:type="dxa"/>
              <w:left w:w="120" w:type="dxa"/>
              <w:right w:w="110" w:type="dxa"/>
            </w:tcMar>
            <w:vAlign w:val="center"/>
          </w:tcPr>
          <w:p>
            <w:r>
              <w:rPr>
                <w:rFonts w:ascii="Calibri" w:hAnsi="Calibri" w:cs="Calibri"/>
                <w:b w:val="0"/>
                <w:i w:val="0"/>
                <w:color w:val="2A2A2E"/>
                <w:sz w:val="18"/>
              </w:rPr>
              <w:t>key rate + 4.4%</w:t>
            </w:r>
          </w:p>
        </w:tc>
        <w:tc>
          <w:tcPr>
            <w:tcW w:type="dxa" w:w="2154"/>
            <w:shd w:val="clear" w:fill="FFFFFF"/>
            <w:tcMar>
              <w:top w:w="120" w:type="dxa"/>
              <w:bottom w:w="120" w:type="dxa"/>
              <w:start w:w="120" w:type="dxa"/>
              <w:end w:w="110" w:type="dxa"/>
              <w:left w:w="120" w:type="dxa"/>
              <w:right w:w="110" w:type="dxa"/>
            </w:tcMar>
            <w:vAlign w:val="center"/>
          </w:tcPr>
          <w:p>
            <w:r>
              <w:rPr>
                <w:rFonts w:ascii="Calibri" w:hAnsi="Calibri" w:cs="Calibri"/>
                <w:b/>
                <w:i w:val="0"/>
                <w:color w:val="16161A"/>
                <w:sz w:val="19"/>
              </w:rPr>
              <w:t>0.20%</w:t>
            </w:r>
          </w:p>
        </w:tc>
      </w:tr>
      <w:tr>
        <w:tc>
          <w:tcPr>
            <w:tcW w:type="dxa" w:w="3175"/>
            <w:shd w:val="clear" w:fill="F6EEE0"/>
            <w:tcMar>
              <w:top w:w="120" w:type="dxa"/>
              <w:bottom w:w="120" w:type="dxa"/>
              <w:start w:w="120" w:type="dxa"/>
              <w:end w:w="110" w:type="dxa"/>
              <w:left w:w="120" w:type="dxa"/>
              <w:right w:w="110" w:type="dxa"/>
            </w:tcMar>
            <w:vAlign w:val="center"/>
          </w:tcPr>
          <w:p>
            <w:r>
              <w:rPr>
                <w:rFonts w:ascii="Georgia" w:hAnsi="Georgia" w:cs="Georgia"/>
                <w:b/>
                <w:i w:val="0"/>
                <w:color w:val="16161A"/>
                <w:sz w:val="18"/>
              </w:rPr>
              <w:t>from RUB 10 bn</w:t>
            </w:r>
            <w:r>
              <w:rPr>
                <w:rFonts w:ascii="Calibri" w:hAnsi="Calibri" w:cs="Calibri"/>
                <w:b/>
                <w:i w:val="0"/>
                <w:color w:val="8C6F45"/>
                <w:sz w:val="15"/>
              </w:rPr>
              <w:t xml:space="preserve">  ← your tier</w:t>
            </w:r>
          </w:p>
        </w:tc>
        <w:tc>
          <w:tcPr>
            <w:tcW w:type="dxa" w:w="1928"/>
            <w:shd w:val="clear" w:fill="F6EEE0"/>
            <w:tcMar>
              <w:top w:w="120" w:type="dxa"/>
              <w:bottom w:w="120" w:type="dxa"/>
              <w:start w:w="120" w:type="dxa"/>
              <w:end w:w="110" w:type="dxa"/>
              <w:left w:w="120" w:type="dxa"/>
              <w:right w:w="110" w:type="dxa"/>
            </w:tcMar>
            <w:vAlign w:val="center"/>
          </w:tcPr>
          <w:p>
            <w:r>
              <w:rPr>
                <w:rFonts w:ascii="Georgia" w:hAnsi="Georgia" w:cs="Georgia"/>
                <w:b/>
                <w:i w:val="0"/>
                <w:color w:val="8C6F45"/>
                <w:sz w:val="22"/>
              </w:rPr>
              <w:t>up to 100%</w:t>
            </w:r>
          </w:p>
        </w:tc>
        <w:tc>
          <w:tcPr>
            <w:tcW w:type="dxa" w:w="2608"/>
            <w:shd w:val="clear" w:fill="F6EEE0"/>
            <w:tcMar>
              <w:top w:w="120" w:type="dxa"/>
              <w:bottom w:w="120" w:type="dxa"/>
              <w:start w:w="120" w:type="dxa"/>
              <w:end w:w="110" w:type="dxa"/>
              <w:left w:w="120" w:type="dxa"/>
              <w:right w:w="110" w:type="dxa"/>
            </w:tcMar>
            <w:vAlign w:val="center"/>
          </w:tcPr>
          <w:p>
            <w:r>
              <w:rPr>
                <w:rFonts w:ascii="Calibri" w:hAnsi="Calibri" w:cs="Calibri"/>
                <w:b w:val="0"/>
                <w:i w:val="0"/>
                <w:color w:val="2A2A2E"/>
                <w:sz w:val="18"/>
              </w:rPr>
              <w:t>key rate + 3.9%</w:t>
            </w:r>
          </w:p>
        </w:tc>
        <w:tc>
          <w:tcPr>
            <w:tcW w:type="dxa" w:w="2154"/>
            <w:shd w:val="clear" w:fill="F6EEE0"/>
            <w:tcMar>
              <w:top w:w="120" w:type="dxa"/>
              <w:bottom w:w="120" w:type="dxa"/>
              <w:start w:w="120" w:type="dxa"/>
              <w:end w:w="110" w:type="dxa"/>
              <w:left w:w="120" w:type="dxa"/>
              <w:right w:w="110" w:type="dxa"/>
            </w:tcMar>
            <w:vAlign w:val="center"/>
          </w:tcPr>
          <w:p>
            <w:r>
              <w:rPr>
                <w:rFonts w:ascii="Calibri" w:hAnsi="Calibri" w:cs="Calibri"/>
                <w:b/>
                <w:i w:val="0"/>
                <w:color w:val="16161A"/>
                <w:sz w:val="19"/>
              </w:rPr>
              <w:t>0.15%</w:t>
            </w:r>
          </w:p>
        </w:tc>
      </w:tr>
    </w:tbl>
    <w:p>
      <w:pPr>
        <w:spacing w:before="0" w:after="40" w:line="276" w:lineRule="auto"/>
      </w:pPr>
    </w:p>
    <w:p>
      <w:pPr>
        <w:spacing w:before="0" w:after="0" w:line="324" w:lineRule="auto"/>
      </w:pPr>
      <w:r>
        <w:rPr>
          <w:rFonts w:ascii="Calibri" w:hAnsi="Calibri" w:cs="Calibri"/>
          <w:b w:val="0"/>
          <w:i w:val="0"/>
          <w:color w:val="8C887F"/>
          <w:sz w:val="15"/>
        </w:rPr>
        <w:t>Rates are stated exclusive of VAT and are indicative. The funding rate = Bank of Russia key rate + the stated margin, per annum.</w:t>
      </w:r>
    </w:p>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6803"/>
            <w:tcMar>
              <w:top w:w="0" w:type="dxa"/>
              <w:bottom w:w="0" w:type="dxa"/>
              <w:start w:w="0" w:type="dxa"/>
              <w:end w:w="0" w:type="dxa"/>
              <w:left w:w="0" w:type="dxa"/>
              <w:right w:w="0" w:type="dxa"/>
            </w:tcMar>
          </w:tcPr>
          <w:p>
            <w:r>
              <w:drawing>
                <wp:inline xmlns:a="http://schemas.openxmlformats.org/drawingml/2006/main" xmlns:pic="http://schemas.openxmlformats.org/drawingml/2006/picture">
                  <wp:extent cx="616979" cy="252000"/>
                  <wp:docPr id="6" name="Picture 6"/>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16979" cy="252000"/>
                          </a:xfrm>
                          <a:prstGeom prst="rect"/>
                        </pic:spPr>
                      </pic:pic>
                    </a:graphicData>
                  </a:graphic>
                </wp:inline>
              </w:drawing>
            </w:r>
          </w:p>
        </w:tc>
        <w:tc>
          <w:tcPr>
            <w:tcW w:type="dxa" w:w="3061"/>
            <w:tcMar>
              <w:top w:w="0" w:type="dxa"/>
              <w:bottom w:w="0" w:type="dxa"/>
              <w:start w:w="0" w:type="dxa"/>
              <w:end w:w="0" w:type="dxa"/>
              <w:left w:w="0" w:type="dxa"/>
              <w:right w:w="0" w:type="dxa"/>
            </w:tcMar>
          </w:tcPr>
          <w:p>
            <w:pPr>
              <w:jc w:val="right"/>
            </w:pPr>
            <w:r>
              <w:rPr>
                <w:rFonts w:ascii="Calibri" w:hAnsi="Calibri" w:cs="Calibri"/>
                <w:b/>
                <w:i w:val="0"/>
                <w:color w:val="8C887F"/>
                <w:sz w:val="16"/>
                <w:spacing w:val="30"/>
              </w:rPr>
              <w:t>05 · GETTING STARTED</w:t>
            </w:r>
          </w:p>
        </w:tc>
      </w:tr>
    </w:tbl>
    <w:p>
      <w:pPr>
        <w:spacing w:before="0" w:after="120" w:line="276" w:lineRule="auto"/>
        <w:pBdr>
          <w:bottom w:val="single" w:sz="6" w:space="1" w:color="E7E2D8"/>
        </w:pBdr>
      </w:pPr>
    </w:p>
    <w:p>
      <w:pPr>
        <w:spacing w:before="0" w:after="40" w:line="276" w:lineRule="auto"/>
      </w:pPr>
      <w:r>
        <w:rPr>
          <w:rFonts w:ascii="Calibri" w:hAnsi="Calibri" w:cs="Calibri"/>
          <w:b/>
          <w:i w:val="0"/>
          <w:color w:val="B0895A"/>
          <w:sz w:val="16"/>
          <w:spacing w:val="40"/>
        </w:rPr>
        <w:t>HOW WE GET STARTED</w:t>
      </w:r>
    </w:p>
    <w:p>
      <w:pPr>
        <w:spacing w:before="0" w:after="200" w:line="276" w:lineRule="auto"/>
      </w:pPr>
      <w:r>
        <w:rPr>
          <w:rFonts w:ascii="Georgia" w:hAnsi="Georgia" w:cs="Georgia"/>
          <w:b/>
          <w:i w:val="0"/>
          <w:color w:val="16161A"/>
          <w:sz w:val="38"/>
        </w:rPr>
        <w:t>Five steps to your first funding</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933"/>
        <w:gridCol w:w="4933"/>
      </w:tblGrid>
      <w:tr>
        <w:tc>
          <w:tcPr>
            <w:tcW w:type="dxa" w:w="794"/>
            <w:tcMar>
              <w:top w:w="80" w:type="dxa"/>
              <w:bottom w:w="80" w:type="dxa"/>
              <w:start w:w="20" w:type="dxa"/>
              <w:end w:w="40" w:type="dxa"/>
              <w:left w:w="20" w:type="dxa"/>
              <w:right w:w="40" w:type="dxa"/>
            </w:tcMar>
            <w:vAlign w:val="top"/>
          </w:tcPr>
          <w:p>
            <w:pPr>
              <w:jc w:val="center"/>
            </w:pPr>
            <w:r>
              <w:rPr>
                <w:rFonts w:ascii="Georgia" w:hAnsi="Georgia" w:cs="Georgia"/>
                <w:b/>
                <w:i w:val="0"/>
                <w:color w:val="8C6F45"/>
                <w:sz w:val="26"/>
              </w:rPr>
              <w:t>1</w:t>
            </w:r>
          </w:p>
        </w:tc>
        <w:tc>
          <w:tcPr>
            <w:tcW w:type="dxa" w:w="9071"/>
            <w:tcMar>
              <w:top w:w="60" w:type="dxa"/>
              <w:bottom w:w="140" w:type="dxa"/>
              <w:start w:w="120" w:type="dxa"/>
              <w:end w:w="40" w:type="dxa"/>
              <w:left w:w="120" w:type="dxa"/>
              <w:right w:w="40" w:type="dxa"/>
            </w:tcMar>
          </w:tcPr>
          <w:p>
            <w:r>
              <w:rPr>
                <w:rFonts w:ascii="Georgia" w:hAnsi="Georgia" w:cs="Georgia"/>
                <w:b/>
                <w:i w:val="0"/>
                <w:color w:val="16161A"/>
                <w:sz w:val="23"/>
              </w:rPr>
              <w:t>Application &amp; document package</w:t>
            </w:r>
          </w:p>
          <w:p>
            <w:pPr>
              <w:spacing w:before="0" w:after="0" w:line="312" w:lineRule="auto"/>
            </w:pPr>
            <w:r>
              <w:rPr>
                <w:rFonts w:ascii="Calibri" w:hAnsi="Calibri" w:cs="Calibri"/>
                <w:b w:val="0"/>
                <w:i w:val="0"/>
                <w:color w:val="8C887F"/>
                <w:sz w:val="18"/>
              </w:rPr>
              <w:t>You send a set of documents on your company and debtors — we help you compile the list.</w:t>
            </w:r>
          </w:p>
        </w:tc>
      </w:tr>
      <w:tr>
        <w:tc>
          <w:tcPr>
            <w:tcW w:type="dxa" w:w="794"/>
            <w:tcMar>
              <w:top w:w="80" w:type="dxa"/>
              <w:bottom w:w="80" w:type="dxa"/>
              <w:start w:w="20" w:type="dxa"/>
              <w:end w:w="40" w:type="dxa"/>
              <w:left w:w="20" w:type="dxa"/>
              <w:right w:w="40" w:type="dxa"/>
            </w:tcMar>
            <w:vAlign w:val="top"/>
          </w:tcPr>
          <w:p>
            <w:pPr>
              <w:jc w:val="center"/>
            </w:pPr>
            <w:r>
              <w:rPr>
                <w:rFonts w:ascii="Georgia" w:hAnsi="Georgia" w:cs="Georgia"/>
                <w:b/>
                <w:i w:val="0"/>
                <w:color w:val="8C6F45"/>
                <w:sz w:val="26"/>
              </w:rPr>
              <w:t>2</w:t>
            </w:r>
          </w:p>
        </w:tc>
        <w:tc>
          <w:tcPr>
            <w:tcW w:type="dxa" w:w="9071"/>
            <w:tcMar>
              <w:top w:w="60" w:type="dxa"/>
              <w:bottom w:w="140" w:type="dxa"/>
              <w:start w:w="120" w:type="dxa"/>
              <w:end w:w="40" w:type="dxa"/>
              <w:left w:w="120" w:type="dxa"/>
              <w:right w:w="40" w:type="dxa"/>
            </w:tcMar>
          </w:tcPr>
          <w:p>
            <w:r>
              <w:rPr>
                <w:rFonts w:ascii="Georgia" w:hAnsi="Georgia" w:cs="Georgia"/>
                <w:b/>
                <w:i w:val="0"/>
                <w:color w:val="16161A"/>
                <w:sz w:val="23"/>
              </w:rPr>
              <w:t>Financial analysis &amp; limit assessment</w:t>
            </w:r>
          </w:p>
          <w:p>
            <w:pPr>
              <w:spacing w:before="0" w:after="0" w:line="312" w:lineRule="auto"/>
            </w:pPr>
            <w:r>
              <w:rPr>
                <w:rFonts w:ascii="Calibri" w:hAnsi="Calibri" w:cs="Calibri"/>
                <w:b w:val="0"/>
                <w:i w:val="0"/>
                <w:color w:val="8C887F"/>
                <w:sz w:val="18"/>
              </w:rPr>
              <w:t>We analyse your company and receivables and calculate the individual parameters.</w:t>
            </w:r>
          </w:p>
        </w:tc>
      </w:tr>
      <w:tr>
        <w:tc>
          <w:tcPr>
            <w:tcW w:type="dxa" w:w="794"/>
            <w:tcMar>
              <w:top w:w="80" w:type="dxa"/>
              <w:bottom w:w="80" w:type="dxa"/>
              <w:start w:w="20" w:type="dxa"/>
              <w:end w:w="40" w:type="dxa"/>
              <w:left w:w="20" w:type="dxa"/>
              <w:right w:w="40" w:type="dxa"/>
            </w:tcMar>
            <w:vAlign w:val="top"/>
          </w:tcPr>
          <w:p>
            <w:pPr>
              <w:jc w:val="center"/>
            </w:pPr>
            <w:r>
              <w:rPr>
                <w:rFonts w:ascii="Georgia" w:hAnsi="Georgia" w:cs="Georgia"/>
                <w:b/>
                <w:i w:val="0"/>
                <w:color w:val="8C6F45"/>
                <w:sz w:val="26"/>
              </w:rPr>
              <w:t>3</w:t>
            </w:r>
          </w:p>
        </w:tc>
        <w:tc>
          <w:tcPr>
            <w:tcW w:type="dxa" w:w="9071"/>
            <w:tcMar>
              <w:top w:w="60" w:type="dxa"/>
              <w:bottom w:w="140" w:type="dxa"/>
              <w:start w:w="120" w:type="dxa"/>
              <w:end w:w="40" w:type="dxa"/>
              <w:left w:w="120" w:type="dxa"/>
              <w:right w:w="40" w:type="dxa"/>
            </w:tcMar>
          </w:tcPr>
          <w:p>
            <w:r>
              <w:rPr>
                <w:rFonts w:ascii="Georgia" w:hAnsi="Georgia" w:cs="Georgia"/>
                <w:b/>
                <w:i w:val="0"/>
                <w:color w:val="16161A"/>
                <w:sz w:val="23"/>
              </w:rPr>
              <w:t>Credit Committee approval</w:t>
            </w:r>
          </w:p>
          <w:p>
            <w:pPr>
              <w:spacing w:before="0" w:after="0" w:line="312" w:lineRule="auto"/>
            </w:pPr>
            <w:r>
              <w:rPr>
                <w:rFonts w:ascii="Calibri" w:hAnsi="Calibri" w:cs="Calibri"/>
                <w:b w:val="0"/>
                <w:i w:val="0"/>
                <w:color w:val="8C887F"/>
                <w:sz w:val="18"/>
              </w:rPr>
              <w:t>The Credit Committee approves the final terms — within 10 business days.</w:t>
            </w:r>
          </w:p>
        </w:tc>
      </w:tr>
      <w:tr>
        <w:tc>
          <w:tcPr>
            <w:tcW w:type="dxa" w:w="794"/>
            <w:tcMar>
              <w:top w:w="80" w:type="dxa"/>
              <w:bottom w:w="80" w:type="dxa"/>
              <w:start w:w="20" w:type="dxa"/>
              <w:end w:w="40" w:type="dxa"/>
              <w:left w:w="20" w:type="dxa"/>
              <w:right w:w="40" w:type="dxa"/>
            </w:tcMar>
            <w:vAlign w:val="top"/>
          </w:tcPr>
          <w:p>
            <w:pPr>
              <w:jc w:val="center"/>
            </w:pPr>
            <w:r>
              <w:rPr>
                <w:rFonts w:ascii="Georgia" w:hAnsi="Georgia" w:cs="Georgia"/>
                <w:b/>
                <w:i w:val="0"/>
                <w:color w:val="8C6F45"/>
                <w:sz w:val="26"/>
              </w:rPr>
              <w:t>4</w:t>
            </w:r>
          </w:p>
        </w:tc>
        <w:tc>
          <w:tcPr>
            <w:tcW w:type="dxa" w:w="9071"/>
            <w:tcMar>
              <w:top w:w="60" w:type="dxa"/>
              <w:bottom w:w="140" w:type="dxa"/>
              <w:start w:w="120" w:type="dxa"/>
              <w:end w:w="40" w:type="dxa"/>
              <w:left w:w="120" w:type="dxa"/>
              <w:right w:w="40" w:type="dxa"/>
            </w:tcMar>
          </w:tcPr>
          <w:p>
            <w:r>
              <w:rPr>
                <w:rFonts w:ascii="Georgia" w:hAnsi="Georgia" w:cs="Georgia"/>
                <w:b/>
                <w:i w:val="0"/>
                <w:color w:val="16161A"/>
                <w:sz w:val="23"/>
              </w:rPr>
              <w:t>Agreement &amp; portal onboarding</w:t>
            </w:r>
          </w:p>
          <w:p>
            <w:pPr>
              <w:spacing w:before="0" w:after="0" w:line="312" w:lineRule="auto"/>
            </w:pPr>
            <w:r>
              <w:rPr>
                <w:rFonts w:ascii="Calibri" w:hAnsi="Calibri" w:cs="Calibri"/>
                <w:b w:val="0"/>
                <w:i w:val="0"/>
                <w:color w:val="8C887F"/>
                <w:sz w:val="18"/>
              </w:rPr>
              <w:t>We sign the factoring agreement and set up electronic document flow.</w:t>
            </w:r>
          </w:p>
        </w:tc>
      </w:tr>
      <w:tr>
        <w:tc>
          <w:tcPr>
            <w:tcW w:type="dxa" w:w="794"/>
            <w:tcMar>
              <w:top w:w="80" w:type="dxa"/>
              <w:bottom w:w="80" w:type="dxa"/>
              <w:start w:w="20" w:type="dxa"/>
              <w:end w:w="40" w:type="dxa"/>
              <w:left w:w="20" w:type="dxa"/>
              <w:right w:w="40" w:type="dxa"/>
            </w:tcMar>
            <w:vAlign w:val="top"/>
          </w:tcPr>
          <w:p>
            <w:pPr>
              <w:jc w:val="center"/>
            </w:pPr>
            <w:r>
              <w:rPr>
                <w:rFonts w:ascii="Georgia" w:hAnsi="Georgia" w:cs="Georgia"/>
                <w:b/>
                <w:i w:val="0"/>
                <w:color w:val="8C6F45"/>
                <w:sz w:val="26"/>
              </w:rPr>
              <w:t>5</w:t>
            </w:r>
          </w:p>
        </w:tc>
        <w:tc>
          <w:tcPr>
            <w:tcW w:type="dxa" w:w="9071"/>
            <w:tcMar>
              <w:top w:w="60" w:type="dxa"/>
              <w:bottom w:w="140" w:type="dxa"/>
              <w:start w:w="120" w:type="dxa"/>
              <w:end w:w="40" w:type="dxa"/>
              <w:left w:w="120" w:type="dxa"/>
              <w:right w:w="40" w:type="dxa"/>
            </w:tcMar>
          </w:tcPr>
          <w:p>
            <w:r>
              <w:rPr>
                <w:rFonts w:ascii="Georgia" w:hAnsi="Georgia" w:cs="Georgia"/>
                <w:b/>
                <w:i w:val="0"/>
                <w:color w:val="16161A"/>
                <w:sz w:val="23"/>
              </w:rPr>
              <w:t>Financing of deliveries</w:t>
            </w:r>
          </w:p>
          <w:p>
            <w:pPr>
              <w:spacing w:before="0" w:after="0" w:line="312" w:lineRule="auto"/>
            </w:pPr>
            <w:r>
              <w:rPr>
                <w:rFonts w:ascii="Calibri" w:hAnsi="Calibri" w:cs="Calibri"/>
                <w:b w:val="0"/>
                <w:i w:val="0"/>
                <w:color w:val="8C887F"/>
                <w:sz w:val="18"/>
              </w:rPr>
              <w:t>You assign the monetary claims — and receive financing of up to 100% of the invoice amount.</w:t>
            </w:r>
          </w:p>
        </w:tc>
      </w:tr>
    </w:tbl>
    <w:p>
      <w:pPr>
        <w:spacing w:before="0" w:after="8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866"/>
      </w:tblGrid>
      <w:tr>
        <w:tc>
          <w:tcPr>
            <w:tcW w:type="dxa" w:w="9865"/>
            <w:shd w:val="clear" w:fill="16161A"/>
            <w:tcMar>
              <w:top w:w="300" w:type="dxa"/>
              <w:bottom w:w="300" w:type="dxa"/>
              <w:start w:w="300" w:type="dxa"/>
              <w:end w:w="300" w:type="dxa"/>
              <w:left w:w="300" w:type="dxa"/>
              <w:right w:w="300" w:type="dxa"/>
            </w:tcMar>
          </w:tcPr>
          <w:p>
            <w:r>
              <w:rPr>
                <w:rFonts w:ascii="Calibri" w:hAnsi="Calibri" w:cs="Calibri"/>
                <w:b/>
                <w:i w:val="0"/>
                <w:color w:val="CBA86B"/>
                <w:sz w:val="17"/>
                <w:spacing w:val="40"/>
              </w:rPr>
              <w:t>Ready to discuss?</w:t>
            </w:r>
          </w:p>
          <w:p>
            <w:pPr>
              <w:spacing w:before="80" w:after="120" w:line="276" w:lineRule="auto"/>
            </w:pPr>
            <w:r>
              <w:rPr>
                <w:rFonts w:ascii="Georgia" w:hAnsi="Georgia" w:cs="Georgia"/>
                <w:b/>
                <w:i w:val="0"/>
                <w:color w:val="FFFFFF"/>
                <w:sz w:val="30"/>
              </w:rPr>
              <w:t>Илья Кириллин · +7 926 090 23 15</w:t>
            </w:r>
          </w:p>
          <w:p>
            <w:pPr>
              <w:spacing w:before="0" w:after="160" w:line="324" w:lineRule="auto"/>
            </w:pPr>
            <w:r>
              <w:rPr>
                <w:rFonts w:ascii="Calibri" w:hAnsi="Calibri" w:cs="Calibri"/>
                <w:b w:val="0"/>
                <w:i w:val="0"/>
                <w:color w:val="C9C6CE"/>
                <w:sz w:val="19"/>
              </w:rPr>
              <w:t>Get in touch with your dedicated manager — and we will prepare a final proposal matched to your business parameters.</w:t>
            </w:r>
          </w:p>
          <w:p>
            <w:pPr>
              <w:spacing w:before="0" w:after="0" w:line="276" w:lineRule="auto"/>
            </w:pPr>
            <w:r>
              <w:rPr>
                <w:rFonts w:ascii="Calibri" w:hAnsi="Calibri" w:cs="Calibri"/>
                <w:b/>
                <w:i w:val="0"/>
                <w:color w:val="FFDD2D"/>
                <w:sz w:val="19"/>
              </w:rPr>
              <w:t xml:space="preserve">i.a.kirillin@tbank.ru     </w:t>
            </w:r>
            <w:r>
              <w:rPr>
                <w:rFonts w:ascii="Calibri" w:hAnsi="Calibri" w:cs="Calibri"/>
                <w:b w:val="0"/>
                <w:i w:val="0"/>
                <w:color w:val="D7D4DC"/>
                <w:sz w:val="19"/>
              </w:rPr>
              <w:t>www.tbank.ru</w:t>
            </w:r>
          </w:p>
        </w:tc>
      </w:tr>
    </w:tbl>
    <w:p>
      <w:pPr>
        <w:spacing w:before="0" w:after="80" w:line="276" w:lineRule="auto"/>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866"/>
      </w:tblGrid>
      <w:tr>
        <w:tc>
          <w:tcPr>
            <w:tcW w:type="dxa" w:w="9865"/>
            <w:shd w:val="clear" w:fill="FBF9F5"/>
            <w:tcMar>
              <w:top w:w="140" w:type="dxa"/>
              <w:bottom w:w="140" w:type="dxa"/>
              <w:start w:w="160" w:type="dxa"/>
              <w:end w:w="160" w:type="dxa"/>
              <w:left w:w="160" w:type="dxa"/>
              <w:right w:w="160" w:type="dxa"/>
            </w:tcMar>
          </w:tcPr>
          <w:p>
            <w:pPr>
              <w:spacing w:line="324" w:lineRule="auto"/>
            </w:pPr>
            <w:r>
              <w:rPr>
                <w:rFonts w:ascii="Calibri" w:hAnsi="Calibri" w:cs="Calibri"/>
                <w:b w:val="0"/>
                <w:i w:val="0"/>
                <w:color w:val="8C887F"/>
                <w:sz w:val="15"/>
              </w:rPr>
              <w:t>Important. This proposal is preliminary and subject to review by the Credit Committee. Final terms will be approved after you provide the document package and the financial analysis is completed. This document does not constitute a public offer within the meaning of Art. 437 of the Civil Code of the Russian Federation.</w:t>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C887F"/>
        <w:sz w:val="15"/>
        <w:spacing w:val="20"/>
      </w:rPr>
      <w:t>RB Factoring · T-Bank Group   ·   Commercial Proposal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2A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