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969539" cy="3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539" cy="3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</w:pPr>
      <w:r>
        <w:rPr>
          <w:rFonts w:ascii="Calibri" w:hAnsi="Calibri" w:cs="Calibri"/>
          <w:b/>
          <w:i w:val="0"/>
          <w:color w:val="8C6F45"/>
          <w:sz w:val="16"/>
          <w:spacing w:val="40"/>
        </w:rPr>
        <w:t>КОНФИДЕНЦИАЛЬНО</w:t>
      </w: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8"/>
          <w:spacing w:val="40"/>
        </w:rPr>
        <w:t>РБ Факторинг · Группа Т-Банк</w:t>
      </w: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8C887F"/>
          <w:sz w:val="21"/>
        </w:rPr>
        <w:t xml:space="preserve">Персональное предложение, подготовленное для   </w:t>
      </w:r>
      <w:r>
        <w:rPr>
          <w:rFonts w:ascii="Calibri" w:hAnsi="Calibri" w:cs="Calibri"/>
          <w:b/>
          <w:i w:val="0"/>
          <w:color w:val="16161A"/>
          <w:sz w:val="21"/>
        </w:rPr>
        <w:t>ООО «КОНКОРД»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89"/>
        <w:gridCol w:w="3289"/>
        <w:gridCol w:w="3289"/>
      </w:tblGrid>
      <w:tr>
        <w:tc>
          <w:tcPr>
            <w:tcW w:type="dxa" w:w="3288"/>
            <w:vAlign w:val="top"/>
            <w:tcMar>
              <w:top w:w="120" w:type="dxa"/>
              <w:bottom w:w="1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16161A"/>
                <w:sz w:val="36"/>
              </w:rPr>
              <w:t>до 100%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7"/>
              </w:rPr>
              <w:t>финансирование от суммы счёта-фактуры</w:t>
            </w:r>
          </w:p>
        </w:tc>
        <w:tc>
          <w:tcPr>
            <w:tcW w:type="dxa" w:w="3288"/>
            <w:vAlign w:val="top"/>
            <w:tcMar>
              <w:top w:w="120" w:type="dxa"/>
              <w:bottom w:w="1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16161A"/>
                <w:sz w:val="36"/>
              </w:rPr>
              <w:t>до 90 дн.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7"/>
              </w:rPr>
              <w:t>отсрочка платежа для покупателей</w:t>
            </w:r>
          </w:p>
        </w:tc>
        <w:tc>
          <w:tcPr>
            <w:tcW w:type="dxa" w:w="3288"/>
            <w:vAlign w:val="top"/>
            <w:tcMar>
              <w:top w:w="120" w:type="dxa"/>
              <w:bottom w:w="1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16161A"/>
                <w:sz w:val="36"/>
              </w:rPr>
              <w:t>до 10 дн.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7"/>
              </w:rPr>
              <w:t>срок установления лимита</w:t>
            </w:r>
          </w:p>
        </w:tc>
      </w:tr>
    </w:tbl>
    <w:p>
      <w:pPr>
        <w:spacing w:before="0" w:after="40" w:line="276" w:lineRule="auto"/>
        <w:pBdr>
          <w:bottom w:val="single" w:sz="6" w:space="1" w:color="E7E2D8"/>
        </w:pBdr>
      </w:pPr>
    </w:p>
    <w:p>
      <w:pPr>
        <w:spacing w:before="0" w:after="1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c>
          <w:tcPr>
            <w:tcW w:type="dxa" w:w="9865"/>
            <w:shd w:val="clear" w:fill="16161A"/>
            <w:tcMar>
              <w:top w:w="360" w:type="dxa"/>
              <w:bottom w:w="360" w:type="dxa"/>
              <w:start w:w="320" w:type="dxa"/>
              <w:end w:w="320" w:type="dxa"/>
              <w:left w:w="320" w:type="dxa"/>
              <w:right w:w="32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CBA86B"/>
                <w:sz w:val="17"/>
                <w:spacing w:val="40"/>
              </w:rPr>
              <w:t>КОММЕРЧЕСКОЕ ПРЕДЛОЖЕНИЕ</w:t>
            </w:r>
          </w:p>
          <w:p>
            <w:pPr>
              <w:spacing w:before="40" w:after="80" w:line="276" w:lineRule="auto"/>
            </w:pPr>
            <w:r>
              <w:rPr>
                <w:rFonts w:ascii="Georgia" w:hAnsi="Georgia" w:cs="Georgia"/>
                <w:b/>
                <w:i w:val="0"/>
                <w:color w:val="FFFFFF"/>
                <w:sz w:val="60"/>
              </w:rPr>
              <w:t>Факторинговое обслуживание</w:t>
            </w:r>
          </w:p>
          <w:p>
            <w:pPr>
              <w:spacing w:before="0" w:after="240" w:line="324" w:lineRule="auto"/>
            </w:pPr>
            <w:r>
              <w:rPr>
                <w:rFonts w:ascii="Calibri" w:hAnsi="Calibri" w:cs="Calibri"/>
                <w:b w:val="0"/>
                <w:i w:val="0"/>
                <w:color w:val="C9C6CE"/>
                <w:sz w:val="21"/>
              </w:rPr>
              <w:t>Финансирование под уступку дебиторской задолженности, профессиональное управление расчётами и защита от кассовых разрывов — на условиях, разработанных индивидуально под вашу компанию.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288"/>
                  <w:tcMar>
                    <w:top w:w="60" w:type="dxa"/>
                    <w:bottom w:w="60" w:type="dxa"/>
                    <w:start w:w="0" w:type="dxa"/>
                    <w:end w:w="120" w:type="dxa"/>
                    <w:left w:w="0" w:type="dxa"/>
                    <w:right w:w="120" w:type="dxa"/>
                  </w:tcMar>
                  <w:shd w:val="clear" w:fill="16161A"/>
                </w:tcPr>
                <w:p>
                  <w:pPr>
                    <w:spacing w:after="60"/>
                  </w:pPr>
                  <w:r>
                    <w:rPr>
                      <w:rFonts w:ascii="Calibri" w:hAnsi="Calibri" w:cs="Calibri"/>
                      <w:b/>
                      <w:i w:val="0"/>
                      <w:color w:val="CBA86B"/>
                      <w:sz w:val="14"/>
                      <w:spacing w:val="30"/>
                    </w:rPr>
                    <w:t>ПОДГОТОВЛЕНО ДЛЯ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0"/>
                    </w:rPr>
                    <w:t>ООО «КОНКОРД»</w:t>
                  </w:r>
                </w:p>
              </w:tc>
              <w:tc>
                <w:tcPr>
                  <w:tcW w:type="dxa" w:w="3288"/>
                  <w:tcMar>
                    <w:top w:w="60" w:type="dxa"/>
                    <w:bottom w:w="60" w:type="dxa"/>
                    <w:start w:w="0" w:type="dxa"/>
                    <w:end w:w="120" w:type="dxa"/>
                    <w:left w:w="0" w:type="dxa"/>
                    <w:right w:w="120" w:type="dxa"/>
                  </w:tcMar>
                  <w:shd w:val="clear" w:fill="16161A"/>
                </w:tcPr>
                <w:p>
                  <w:pPr>
                    <w:spacing w:after="60"/>
                  </w:pPr>
                  <w:r>
                    <w:rPr>
                      <w:rFonts w:ascii="Calibri" w:hAnsi="Calibri" w:cs="Calibri"/>
                      <w:b/>
                      <w:i w:val="0"/>
                      <w:color w:val="CBA86B"/>
                      <w:sz w:val="14"/>
                      <w:spacing w:val="30"/>
                    </w:rPr>
                    <w:t>ДАТА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0"/>
                    </w:rPr>
                    <w:t>09 июня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 w:val="0"/>
                      <w:i w:val="0"/>
                      <w:color w:val="A7A3AC"/>
                      <w:sz w:val="15"/>
                    </w:rPr>
                    <w:t>действительно 30 дней</w:t>
                  </w:r>
                </w:p>
              </w:tc>
              <w:tc>
                <w:tcPr>
                  <w:tcW w:type="dxa" w:w="3288"/>
                  <w:tcMar>
                    <w:top w:w="60" w:type="dxa"/>
                    <w:bottom w:w="60" w:type="dxa"/>
                    <w:start w:w="0" w:type="dxa"/>
                    <w:end w:w="120" w:type="dxa"/>
                    <w:left w:w="0" w:type="dxa"/>
                    <w:right w:w="120" w:type="dxa"/>
                  </w:tcMar>
                  <w:shd w:val="clear" w:fill="16161A"/>
                </w:tcPr>
                <w:p>
                  <w:pPr>
                    <w:spacing w:after="60"/>
                  </w:pPr>
                  <w:r>
                    <w:rPr>
                      <w:rFonts w:ascii="Calibri" w:hAnsi="Calibri" w:cs="Calibri"/>
                      <w:b/>
                      <w:i w:val="0"/>
                      <w:color w:val="CBA86B"/>
                      <w:sz w:val="14"/>
                      <w:spacing w:val="30"/>
                    </w:rPr>
                    <w:t>ДОКУМЕНТ</w:t>
                  </w:r>
                </w:p>
                <w:p>
                  <w:pPr>
                    <w:spacing w:before="0" w:after="0" w:line="264" w:lineRule="auto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0"/>
                    </w:rPr>
                    <w:t>КП-2026/06-09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680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16979" cy="2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9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8C887F"/>
                <w:sz w:val="16"/>
                <w:spacing w:val="30"/>
              </w:rPr>
              <w:t>01 · ОБРАЩЕНИЕ</w:t>
            </w:r>
          </w:p>
        </w:tc>
      </w:tr>
    </w:tbl>
    <w:p>
      <w:pPr>
        <w:spacing w:before="0" w:after="120" w:line="276" w:lineRule="auto"/>
        <w:pBdr>
          <w:bottom w:val="single" w:sz="6" w:space="1" w:color="E7E2D8"/>
        </w:pBdr>
      </w:pP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6"/>
          <w:spacing w:val="40"/>
        </w:rPr>
        <w:t>СОПРОВОДИТЕЛЬНОЕ ПИСЬМО</w:t>
      </w:r>
    </w:p>
    <w:p>
      <w:pPr>
        <w:spacing w:before="0" w:after="160" w:line="276" w:lineRule="auto"/>
      </w:pPr>
      <w:r>
        <w:rPr>
          <w:rFonts w:ascii="Georgia" w:hAnsi="Georgia" w:cs="Georgia"/>
          <w:b/>
          <w:i w:val="0"/>
          <w:color w:val="16161A"/>
          <w:sz w:val="30"/>
        </w:rPr>
        <w:t>Уважаемые Господа!</w:t>
      </w:r>
    </w:p>
    <w:p>
      <w:pPr>
        <w:spacing w:before="0" w:after="160" w:line="348" w:lineRule="auto"/>
      </w:pPr>
      <w:r>
        <w:rPr>
          <w:rFonts w:ascii="Calibri" w:hAnsi="Calibri" w:cs="Calibri"/>
          <w:b w:val="0"/>
          <w:i w:val="0"/>
          <w:color w:val="2A2A2E"/>
          <w:sz w:val="21"/>
        </w:rPr>
        <w:t>Мы рады представить вашему вниманию комплекс факторинговых услуг, разработанный индивидуально для вашей компании. Надеемся, что он в полной мере ответит вашим ожиданиям и задачам бизнеса.</w:t>
      </w:r>
    </w:p>
    <w:p>
      <w:pPr>
        <w:spacing w:before="0" w:after="200" w:line="348" w:lineRule="auto"/>
      </w:pPr>
      <w:r>
        <w:rPr>
          <w:rFonts w:ascii="Calibri" w:hAnsi="Calibri" w:cs="Calibri"/>
          <w:b/>
          <w:i w:val="0"/>
          <w:color w:val="16161A"/>
          <w:sz w:val="21"/>
        </w:rPr>
        <w:t>РБ Факторинг</w:t>
      </w:r>
      <w:r>
        <w:rPr>
          <w:rFonts w:ascii="Calibri" w:hAnsi="Calibri" w:cs="Calibri"/>
          <w:b w:val="0"/>
          <w:i w:val="0"/>
          <w:color w:val="2A2A2E"/>
          <w:sz w:val="21"/>
        </w:rPr>
        <w:t xml:space="preserve"> оказывает полный спектр факторинговых услуг. В рамках настоящего предложения мы предлагаем факторинговое обслуживание </w:t>
      </w:r>
      <w:r>
        <w:rPr>
          <w:rFonts w:ascii="Calibri" w:hAnsi="Calibri" w:cs="Calibri"/>
          <w:b/>
          <w:i w:val="0"/>
          <w:color w:val="16161A"/>
          <w:sz w:val="21"/>
        </w:rPr>
        <w:t>с правом регресса</w:t>
      </w:r>
      <w:r>
        <w:rPr>
          <w:rFonts w:ascii="Calibri" w:hAnsi="Calibri" w:cs="Calibri"/>
          <w:b w:val="0"/>
          <w:i w:val="0"/>
          <w:color w:val="2A2A2E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c>
          <w:tcPr>
            <w:tcW w:type="dxa" w:w="9865"/>
            <w:shd w:val="clear" w:fill="FBF9F5"/>
            <w:tcMar>
              <w:top w:w="160" w:type="dxa"/>
              <w:bottom w:w="160" w:type="dxa"/>
              <w:start w:w="220" w:type="dxa"/>
              <w:end w:w="200" w:type="dxa"/>
              <w:left w:w="220" w:type="dxa"/>
              <w:right w:w="200" w:type="dxa"/>
            </w:tcMar>
            <w:tcBorders>
              <w:left w:val="single" w:sz="24" w:space="0" w:color="B0895A"/>
            </w:tcBorders>
          </w:tcPr>
          <w:p>
            <w:r>
              <w:rPr>
                <w:rFonts w:ascii="Georgia" w:hAnsi="Georgia" w:cs="Georgia"/>
                <w:b/>
                <w:i w:val="0"/>
                <w:color w:val="3C3C44"/>
                <w:sz w:val="23"/>
              </w:rPr>
              <w:t>Согласно условиям договора факторинга, мы предоставим вам финансирование под уступку дебиторской задолженности до 100% от суммы выставленного счёта-фактуры.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60" w:line="348" w:lineRule="auto"/>
      </w:pPr>
      <w:r>
        <w:rPr>
          <w:rFonts w:ascii="Calibri" w:hAnsi="Calibri" w:cs="Calibri"/>
          <w:b w:val="0"/>
          <w:i w:val="0"/>
          <w:color w:val="2A2A2E"/>
          <w:sz w:val="21"/>
        </w:rPr>
        <w:t>Это поможет пополнить оборотные средства компании и предоставить отсрочку платежа покупателям, избежав при этом риска неоплаты с их стороны, с возможностью списания дебиторской задолженности в момент уступки денежных требований фактору.</w:t>
      </w:r>
    </w:p>
    <w:p>
      <w:pPr>
        <w:spacing w:before="0" w:after="160" w:line="348" w:lineRule="auto"/>
      </w:pPr>
      <w:r>
        <w:rPr>
          <w:rFonts w:ascii="Calibri" w:hAnsi="Calibri" w:cs="Calibri"/>
          <w:b w:val="0"/>
          <w:i w:val="0"/>
          <w:color w:val="2A2A2E"/>
          <w:sz w:val="21"/>
        </w:rPr>
        <w:t xml:space="preserve">Мы также возьмём на себя </w:t>
      </w:r>
      <w:r>
        <w:rPr>
          <w:rFonts w:ascii="Calibri" w:hAnsi="Calibri" w:cs="Calibri"/>
          <w:b/>
          <w:i w:val="0"/>
          <w:color w:val="16161A"/>
          <w:sz w:val="21"/>
        </w:rPr>
        <w:t>административное управление дебиторской задолженностью</w:t>
      </w:r>
      <w:r>
        <w:rPr>
          <w:rFonts w:ascii="Calibri" w:hAnsi="Calibri" w:cs="Calibri"/>
          <w:b w:val="0"/>
          <w:i w:val="0"/>
          <w:color w:val="2A2A2E"/>
          <w:sz w:val="21"/>
        </w:rPr>
        <w:t>: контроль за своевременным погашением задолженности вашими покупателями и процедуру напоминаний при задержке платежей. Вы будете получать оперативную информацию в форме удобных отчётов о состоянии дебиторской задолженности и о графике платежей покупателей.</w:t>
      </w:r>
    </w:p>
    <w:p>
      <w:pPr>
        <w:spacing w:before="0" w:after="160" w:line="348" w:lineRule="auto"/>
      </w:pPr>
      <w:r>
        <w:rPr>
          <w:rFonts w:ascii="Calibri" w:hAnsi="Calibri" w:cs="Calibri"/>
          <w:b w:val="0"/>
          <w:i w:val="0"/>
          <w:color w:val="2A2A2E"/>
          <w:sz w:val="21"/>
        </w:rPr>
        <w:t>Надеемся на взаимовыгодное и долгосрочное сотрудничество.</w:t>
      </w:r>
    </w:p>
    <w:p>
      <w:pPr>
        <w:spacing w:before="0" w:after="80" w:line="276" w:lineRule="auto"/>
      </w:pPr>
    </w:p>
    <w:p>
      <w:pPr>
        <w:spacing w:before="0" w:after="120" w:line="276" w:lineRule="auto"/>
        <w:pBdr>
          <w:bottom w:val="single" w:sz="6" w:space="1" w:color="E7E2D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1020"/>
            <w:shd w:val="clear" w:fill="16161A"/>
            <w:tcMar>
              <w:top w:w="140" w:type="dxa"/>
              <w:bottom w:w="140" w:type="dxa"/>
              <w:start w:w="40" w:type="dxa"/>
              <w:end w:w="4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CBA86B"/>
                <w:sz w:val="30"/>
              </w:rPr>
              <w:t>ИК</w:t>
            </w:r>
          </w:p>
        </w:tc>
        <w:tc>
          <w:tcPr>
            <w:tcW w:type="dxa" w:w="8844"/>
            <w:tcMar>
              <w:top w:w="40" w:type="dxa"/>
              <w:bottom w:w="40" w:type="dxa"/>
              <w:start w:w="160" w:type="dxa"/>
              <w:end w:w="40" w:type="dxa"/>
              <w:left w:w="160" w:type="dxa"/>
              <w:right w:w="4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4"/>
              </w:rPr>
              <w:t>Илья Кириллин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9"/>
              </w:rPr>
              <w:t>Региональный менеджер · РБ Факторинг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3C3C44"/>
                <w:sz w:val="18"/>
              </w:rPr>
              <w:t xml:space="preserve">+7 926 090 23 15     </w:t>
            </w:r>
            <w:r>
              <w:rPr>
                <w:rFonts w:ascii="Calibri" w:hAnsi="Calibri" w:cs="Calibri"/>
                <w:b w:val="0"/>
                <w:i w:val="0"/>
                <w:color w:val="3C3C44"/>
                <w:sz w:val="18"/>
              </w:rPr>
              <w:t xml:space="preserve">i.a.kirillin@tbank.ru     </w:t>
            </w:r>
            <w:r>
              <w:rPr>
                <w:rFonts w:ascii="Calibri" w:hAnsi="Calibri" w:cs="Calibri"/>
                <w:b w:val="0"/>
                <w:i w:val="0"/>
                <w:color w:val="3C3C44"/>
                <w:sz w:val="18"/>
              </w:rPr>
              <w:t>www.tbank.ru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680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16979" cy="2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9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8C887F"/>
                <w:sz w:val="16"/>
                <w:spacing w:val="30"/>
              </w:rPr>
              <w:t>02 · ЦЕННОСТЬ ДЛЯ БИЗНЕСА</w:t>
            </w:r>
          </w:p>
        </w:tc>
      </w:tr>
    </w:tbl>
    <w:p>
      <w:pPr>
        <w:spacing w:before="0" w:after="120" w:line="276" w:lineRule="auto"/>
        <w:pBdr>
          <w:bottom w:val="single" w:sz="6" w:space="1" w:color="E7E2D8"/>
        </w:pBdr>
      </w:pP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6"/>
          <w:spacing w:val="40"/>
        </w:rPr>
        <w:t>ПОЧЕМУ ФАКТОРИНГ С РБ ФАКТОРИНГ</w:t>
      </w:r>
    </w:p>
    <w:p>
      <w:pPr>
        <w:spacing w:before="0" w:after="200" w:line="276" w:lineRule="auto"/>
      </w:pPr>
      <w:r>
        <w:rPr>
          <w:rFonts w:ascii="Georgia" w:hAnsi="Georgia" w:cs="Georgia"/>
          <w:b/>
          <w:i w:val="0"/>
          <w:color w:val="16161A"/>
          <w:sz w:val="38"/>
        </w:rPr>
        <w:t>Оборотный капитал, который работает на ваш рост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01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Финансирование до 100%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Деньги по поставке сразу — без ожидания оплаты от покупателя и без отвлечения собственных средств.</w:t>
            </w:r>
          </w:p>
        </w:tc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02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Отсрочка до 90 дней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Предоставляйте покупателям комфортные условия оплаты и выигрывайте тендеры, не теряя в оборачиваемости.</w:t>
            </w:r>
          </w:p>
        </w:tc>
      </w:tr>
      <w:tr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03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Защита от риска неоплаты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Профессиональная оценка дебиторов и управление рисками снижают вероятность кассовых разрывов.</w:t>
            </w:r>
          </w:p>
        </w:tc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04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Управление дебиторкой «под ключ»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Контроль сроков, напоминания покупателям и прозрачная отчётность по платежам — на нашей стороне.</w:t>
            </w:r>
          </w:p>
        </w:tc>
      </w:tr>
      <w:tr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05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Решение за 10 дней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Установление лимита — до 10 рабочих дней с момента предоставления полного пакета документов.</w:t>
            </w:r>
          </w:p>
        </w:tc>
        <w:tc>
          <w:tcPr>
            <w:tcW w:type="dxa" w:w="4876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shd w:val="clear" w:fill="FBF9F5"/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CBA86B"/>
                <w:sz w:val="20"/>
              </w:rPr>
              <w:t xml:space="preserve">06   </w:t>
            </w:r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Цифровой сервис в ЛК Фактора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Электронный документооборот, верификация от дебитора и онлайн-мониторинг финансирования.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89"/>
        <w:gridCol w:w="3289"/>
        <w:gridCol w:w="3289"/>
      </w:tblGrid>
      <w:tr>
        <w:tc>
          <w:tcPr>
            <w:tcW w:type="dxa" w:w="3288"/>
            <w:shd w:val="clear" w:fill="16161A"/>
            <w:tcMar>
              <w:top w:w="150" w:type="dxa"/>
              <w:bottom w:w="15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FFDD2D"/>
                <w:sz w:val="34"/>
              </w:rPr>
              <w:t>100 %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BBB7BF"/>
                <w:sz w:val="16"/>
              </w:rPr>
              <w:t>финансирование счёта-фактуры</w:t>
            </w:r>
          </w:p>
        </w:tc>
        <w:tc>
          <w:tcPr>
            <w:tcW w:type="dxa" w:w="3288"/>
            <w:shd w:val="clear" w:fill="16161A"/>
            <w:tcMar>
              <w:top w:w="150" w:type="dxa"/>
              <w:bottom w:w="15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FFDD2D"/>
                <w:sz w:val="34"/>
              </w:rPr>
              <w:t>90 дн.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BBB7BF"/>
                <w:sz w:val="16"/>
              </w:rPr>
              <w:t>макс. отсрочка платежа</w:t>
            </w:r>
          </w:p>
        </w:tc>
        <w:tc>
          <w:tcPr>
            <w:tcW w:type="dxa" w:w="3288"/>
            <w:shd w:val="clear" w:fill="16161A"/>
            <w:tcMar>
              <w:top w:w="150" w:type="dxa"/>
              <w:bottom w:w="15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60"/>
            </w:pPr>
            <w:r>
              <w:rPr>
                <w:rFonts w:ascii="Georgia" w:hAnsi="Georgia" w:cs="Georgia"/>
                <w:b/>
                <w:i w:val="0"/>
                <w:color w:val="FFDD2D"/>
                <w:sz w:val="34"/>
              </w:rPr>
              <w:t>70 млрд ₽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BBB7BF"/>
                <w:sz w:val="16"/>
              </w:rPr>
              <w:t>доступный лимит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680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16979" cy="2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9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8C887F"/>
                <w:sz w:val="16"/>
                <w:spacing w:val="30"/>
              </w:rPr>
              <w:t>03 · УСЛОВИЯ СОТРУДНИЧЕСТВА</w:t>
            </w:r>
          </w:p>
        </w:tc>
      </w:tr>
    </w:tbl>
    <w:p>
      <w:pPr>
        <w:spacing w:before="0" w:after="120" w:line="276" w:lineRule="auto"/>
        <w:pBdr>
          <w:bottom w:val="single" w:sz="6" w:space="1" w:color="E7E2D8"/>
        </w:pBdr>
      </w:pP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6"/>
          <w:spacing w:val="40"/>
        </w:rPr>
        <w:t>ПАРАМЕТРЫ СДЕЛКИ</w:t>
      </w:r>
    </w:p>
    <w:p>
      <w:pPr>
        <w:spacing w:before="0" w:after="160" w:line="276" w:lineRule="auto"/>
      </w:pPr>
      <w:r>
        <w:rPr>
          <w:rFonts w:ascii="Georgia" w:hAnsi="Georgia" w:cs="Georgia"/>
          <w:b/>
          <w:i w:val="0"/>
          <w:color w:val="16161A"/>
          <w:sz w:val="38"/>
        </w:rPr>
        <w:t>Условия сотрудничества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3288"/>
            <w:shd w:val="clear" w:fill="FFFFFF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Поставщик</w:t>
            </w:r>
          </w:p>
        </w:tc>
        <w:tc>
          <w:tcPr>
            <w:tcW w:type="dxa" w:w="6576"/>
            <w:shd w:val="clear" w:fill="FFFFFF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ООО «КОНКОРД»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Фактор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ООО «РБ Факторинг»</w:t>
            </w:r>
          </w:p>
        </w:tc>
      </w:tr>
      <w:tr>
        <w:tc>
          <w:tcPr>
            <w:tcW w:type="dxa" w:w="3288"/>
            <w:shd w:val="clear" w:fill="FFFFFF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Дебиторы</w:t>
            </w:r>
          </w:p>
        </w:tc>
        <w:tc>
          <w:tcPr>
            <w:tcW w:type="dxa" w:w="6576"/>
            <w:shd w:val="clear" w:fill="FFFFFF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ООО «ВСЕИНСТРУМЕНТЫ.РУ»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Тип факторинга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Факторинг с регрессом</w:t>
            </w:r>
          </w:p>
        </w:tc>
      </w:tr>
      <w:tr>
        <w:tc>
          <w:tcPr>
            <w:tcW w:type="dxa" w:w="3288"/>
            <w:shd w:val="clear" w:fill="F6EEE0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8C6F45"/>
                <w:sz w:val="18"/>
              </w:rPr>
              <w:t>Финансирование</w:t>
            </w:r>
          </w:p>
        </w:tc>
        <w:tc>
          <w:tcPr>
            <w:tcW w:type="dxa" w:w="6576"/>
            <w:shd w:val="clear" w:fill="F6EEE0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100% от суммы счёта-фактуры (определяется по результатам анализа)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Отсрочка платежа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до 90 к.д. (в соответствии с контрактной отсрочкой платежа)</w:t>
            </w:r>
          </w:p>
        </w:tc>
      </w:tr>
      <w:tr>
        <w:tc>
          <w:tcPr>
            <w:tcW w:type="dxa" w:w="3288"/>
            <w:shd w:val="clear" w:fill="FFFFFF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Валюта</w:t>
            </w:r>
          </w:p>
        </w:tc>
        <w:tc>
          <w:tcPr>
            <w:tcW w:type="dxa" w:w="6576"/>
            <w:shd w:val="clear" w:fill="FFFFFF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Российский рубль (RUB)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Схема финансирования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Через ЛК Фактора + верификация от дебитора · для лимита от 70 млрд ₽</w:t>
            </w:r>
          </w:p>
        </w:tc>
      </w:tr>
      <w:tr>
        <w:tc>
          <w:tcPr>
            <w:tcW w:type="dxa" w:w="3288"/>
            <w:shd w:val="clear" w:fill="F6EEE0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8C6F45"/>
                <w:sz w:val="18"/>
              </w:rPr>
              <w:t>Комиссия за денежные ресурсы *</w:t>
            </w:r>
          </w:p>
        </w:tc>
        <w:tc>
          <w:tcPr>
            <w:tcW w:type="dxa" w:w="6576"/>
            <w:shd w:val="clear" w:fill="F6EEE0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Ключевая ставка ЦБ РФ ** + 3.9% годовых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Факторинговая комиссия *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0.15% от суммы УПД</w:t>
            </w:r>
          </w:p>
        </w:tc>
      </w:tr>
      <w:tr>
        <w:tc>
          <w:tcPr>
            <w:tcW w:type="dxa" w:w="3288"/>
            <w:shd w:val="clear" w:fill="FFFFFF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Правовые нормы / юрисдикция</w:t>
            </w:r>
          </w:p>
        </w:tc>
        <w:tc>
          <w:tcPr>
            <w:tcW w:type="dxa" w:w="6576"/>
            <w:shd w:val="clear" w:fill="FFFFFF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Арбитражный суд г. Москвы · законодательство РФ</w:t>
            </w:r>
          </w:p>
        </w:tc>
      </w:tr>
      <w:tr>
        <w:tc>
          <w:tcPr>
            <w:tcW w:type="dxa" w:w="3288"/>
            <w:shd w:val="clear" w:fill="FBF9F5"/>
            <w:tcMar>
              <w:top w:w="90" w:type="dxa"/>
              <w:bottom w:w="90" w:type="dxa"/>
              <w:start w:w="150" w:type="dxa"/>
              <w:end w:w="120" w:type="dxa"/>
              <w:left w:w="15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3C3C44"/>
                <w:sz w:val="18"/>
              </w:rPr>
              <w:t>Сроки установления лимитов</w:t>
            </w:r>
          </w:p>
        </w:tc>
        <w:tc>
          <w:tcPr>
            <w:tcW w:type="dxa" w:w="6576"/>
            <w:shd w:val="clear" w:fill="FBF9F5"/>
            <w:tcMar>
              <w:top w:w="90" w:type="dxa"/>
              <w:bottom w:w="90" w:type="dxa"/>
              <w:start w:w="140" w:type="dxa"/>
              <w:end w:w="150" w:type="dxa"/>
              <w:left w:w="140" w:type="dxa"/>
              <w:right w:w="15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9"/>
              </w:rPr>
              <w:t>до 10 рабочих дней с момента предоставления полного пакета документов</w:t>
            </w:r>
          </w:p>
        </w:tc>
      </w:tr>
    </w:tbl>
    <w:p>
      <w:pPr>
        <w:spacing w:before="0" w:after="80" w:line="276" w:lineRule="auto"/>
      </w:pPr>
    </w:p>
    <w:p>
      <w:pPr>
        <w:spacing w:before="0" w:after="60" w:line="312" w:lineRule="auto"/>
      </w:pPr>
      <w:r>
        <w:rPr>
          <w:rFonts w:ascii="Calibri" w:hAnsi="Calibri" w:cs="Calibri"/>
          <w:b w:val="0"/>
          <w:i w:val="0"/>
          <w:color w:val="8C887F"/>
          <w:sz w:val="15"/>
        </w:rPr>
        <w:t>*  Комиссии указаны без НДС.</w:t>
      </w:r>
    </w:p>
    <w:p>
      <w:pPr>
        <w:spacing w:before="0" w:after="0" w:line="312" w:lineRule="auto"/>
      </w:pPr>
      <w:r>
        <w:rPr>
          <w:rFonts w:ascii="Calibri" w:hAnsi="Calibri" w:cs="Calibri"/>
          <w:b w:val="0"/>
          <w:i w:val="0"/>
          <w:color w:val="8C887F"/>
          <w:sz w:val="15"/>
        </w:rPr>
        <w:t>**  Ключевая ставка Банка России фиксируется в момент заключения Договора и действует до момента её изменения в порядке, установленном законодательством РФ. При изменении ключевой ставки ставки Комиссии за финансирование изменяются автоматически со дня, следующего за днём объявления изменения.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680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16979" cy="2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9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8C887F"/>
                <w:sz w:val="16"/>
                <w:spacing w:val="30"/>
              </w:rPr>
              <w:t>04 · ТАРИФНАЯ СЕТКА</w:t>
            </w:r>
          </w:p>
        </w:tc>
      </w:tr>
    </w:tbl>
    <w:p>
      <w:pPr>
        <w:spacing w:before="0" w:after="120" w:line="276" w:lineRule="auto"/>
        <w:pBdr>
          <w:bottom w:val="single" w:sz="6" w:space="1" w:color="E7E2D8"/>
        </w:pBdr>
      </w:pP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6"/>
          <w:spacing w:val="40"/>
        </w:rPr>
        <w:t>УСЛОВИЯ ПО ОБЪЁМУ ЛИМИТА</w:t>
      </w:r>
    </w:p>
    <w:p>
      <w:pPr>
        <w:spacing w:before="0" w:after="80" w:line="276" w:lineRule="auto"/>
      </w:pPr>
      <w:r>
        <w:rPr>
          <w:rFonts w:ascii="Georgia" w:hAnsi="Georgia" w:cs="Georgia"/>
          <w:b/>
          <w:i w:val="0"/>
          <w:color w:val="16161A"/>
          <w:sz w:val="38"/>
        </w:rPr>
        <w:t>Тарифы под разные лимиты</w:t>
      </w:r>
    </w:p>
    <w:p>
      <w:pPr>
        <w:spacing w:before="0" w:after="160" w:line="324" w:lineRule="auto"/>
      </w:pPr>
      <w:r>
        <w:rPr>
          <w:rFonts w:ascii="Calibri" w:hAnsi="Calibri" w:cs="Calibri"/>
          <w:b w:val="0"/>
          <w:i w:val="0"/>
          <w:color w:val="8C887F"/>
          <w:sz w:val="20"/>
        </w:rPr>
        <w:t>Ставки снижаются по мере роста объёма уступаемой задолженности. Ниже — индикативная сетка; финальные условия фиксируются по результатам анализа.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3175"/>
            <w:shd w:val="clear" w:fill="16161A"/>
            <w:tcMar>
              <w:top w:w="100" w:type="dxa"/>
              <w:bottom w:w="10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CBA86B"/>
                <w:sz w:val="15"/>
                <w:spacing w:val="20"/>
              </w:rPr>
              <w:t>Объём лимита</w:t>
            </w:r>
          </w:p>
        </w:tc>
        <w:tc>
          <w:tcPr>
            <w:tcW w:type="dxa" w:w="1928"/>
            <w:shd w:val="clear" w:fill="16161A"/>
            <w:tcMar>
              <w:top w:w="100" w:type="dxa"/>
              <w:bottom w:w="10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CBA86B"/>
                <w:sz w:val="15"/>
                <w:spacing w:val="20"/>
              </w:rPr>
              <w:t>Финансирование</w:t>
            </w:r>
          </w:p>
        </w:tc>
        <w:tc>
          <w:tcPr>
            <w:tcW w:type="dxa" w:w="2608"/>
            <w:shd w:val="clear" w:fill="16161A"/>
            <w:tcMar>
              <w:top w:w="100" w:type="dxa"/>
              <w:bottom w:w="10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CBA86B"/>
                <w:sz w:val="15"/>
                <w:spacing w:val="20"/>
              </w:rPr>
              <w:t>Комиссия за ресурсы</w:t>
            </w:r>
          </w:p>
        </w:tc>
        <w:tc>
          <w:tcPr>
            <w:tcW w:type="dxa" w:w="2154"/>
            <w:shd w:val="clear" w:fill="16161A"/>
            <w:tcMar>
              <w:top w:w="100" w:type="dxa"/>
              <w:bottom w:w="10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CBA86B"/>
                <w:sz w:val="15"/>
                <w:spacing w:val="20"/>
              </w:rPr>
              <w:t>Факторинговая комиссия</w:t>
            </w:r>
          </w:p>
        </w:tc>
      </w:tr>
      <w:tr>
        <w:tc>
          <w:tcPr>
            <w:tcW w:type="dxa" w:w="3175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18"/>
              </w:rPr>
              <w:t>до 100 млн ₽</w:t>
            </w:r>
          </w:p>
        </w:tc>
        <w:tc>
          <w:tcPr>
            <w:tcW w:type="dxa" w:w="1928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8C6F45"/>
                <w:sz w:val="22"/>
              </w:rPr>
              <w:t>до 90%</w:t>
            </w:r>
          </w:p>
        </w:tc>
        <w:tc>
          <w:tcPr>
            <w:tcW w:type="dxa" w:w="2608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8"/>
              </w:rPr>
              <w:t>ключевая + 6,0%</w:t>
            </w:r>
          </w:p>
        </w:tc>
        <w:tc>
          <w:tcPr>
            <w:tcW w:type="dxa" w:w="2154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0,40%</w:t>
            </w:r>
          </w:p>
        </w:tc>
      </w:tr>
      <w:tr>
        <w:tc>
          <w:tcPr>
            <w:tcW w:type="dxa" w:w="3175"/>
            <w:shd w:val="clear" w:fill="FBF9F5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18"/>
              </w:rPr>
              <w:t>100 млн – 1 млрд ₽</w:t>
            </w:r>
          </w:p>
        </w:tc>
        <w:tc>
          <w:tcPr>
            <w:tcW w:type="dxa" w:w="1928"/>
            <w:shd w:val="clear" w:fill="FBF9F5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8C6F45"/>
                <w:sz w:val="22"/>
              </w:rPr>
              <w:t>до 95%</w:t>
            </w:r>
          </w:p>
        </w:tc>
        <w:tc>
          <w:tcPr>
            <w:tcW w:type="dxa" w:w="2608"/>
            <w:shd w:val="clear" w:fill="FBF9F5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8"/>
              </w:rPr>
              <w:t>ключевая + 5,0%</w:t>
            </w:r>
          </w:p>
        </w:tc>
        <w:tc>
          <w:tcPr>
            <w:tcW w:type="dxa" w:w="2154"/>
            <w:shd w:val="clear" w:fill="FBF9F5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0,30%</w:t>
            </w:r>
          </w:p>
        </w:tc>
      </w:tr>
      <w:tr>
        <w:tc>
          <w:tcPr>
            <w:tcW w:type="dxa" w:w="3175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18"/>
              </w:rPr>
              <w:t>1 – 10 млрд ₽</w:t>
            </w:r>
          </w:p>
        </w:tc>
        <w:tc>
          <w:tcPr>
            <w:tcW w:type="dxa" w:w="1928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8C6F45"/>
                <w:sz w:val="22"/>
              </w:rPr>
              <w:t>до 100%</w:t>
            </w:r>
          </w:p>
        </w:tc>
        <w:tc>
          <w:tcPr>
            <w:tcW w:type="dxa" w:w="2608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8"/>
              </w:rPr>
              <w:t>ключевая + 4,4%</w:t>
            </w:r>
          </w:p>
        </w:tc>
        <w:tc>
          <w:tcPr>
            <w:tcW w:type="dxa" w:w="2154"/>
            <w:shd w:val="clear" w:fill="FFFFFF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0,20%</w:t>
            </w:r>
          </w:p>
        </w:tc>
      </w:tr>
      <w:tr>
        <w:tc>
          <w:tcPr>
            <w:tcW w:type="dxa" w:w="3175"/>
            <w:shd w:val="clear" w:fill="F6EEE0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18"/>
              </w:rPr>
              <w:t>от 10 млрд ₽</w:t>
            </w:r>
            <w:r>
              <w:rPr>
                <w:rFonts w:ascii="Calibri" w:hAnsi="Calibri" w:cs="Calibri"/>
                <w:b/>
                <w:i w:val="0"/>
                <w:color w:val="8C6F45"/>
                <w:sz w:val="15"/>
              </w:rPr>
              <w:t xml:space="preserve">  ← ваш уровень</w:t>
            </w:r>
          </w:p>
        </w:tc>
        <w:tc>
          <w:tcPr>
            <w:tcW w:type="dxa" w:w="1928"/>
            <w:shd w:val="clear" w:fill="F6EEE0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Georgia" w:hAnsi="Georgia" w:cs="Georgia"/>
                <w:b/>
                <w:i w:val="0"/>
                <w:color w:val="8C6F45"/>
                <w:sz w:val="22"/>
              </w:rPr>
              <w:t>до 100%</w:t>
            </w:r>
          </w:p>
        </w:tc>
        <w:tc>
          <w:tcPr>
            <w:tcW w:type="dxa" w:w="2608"/>
            <w:shd w:val="clear" w:fill="F6EEE0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i w:val="0"/>
                <w:color w:val="2A2A2E"/>
                <w:sz w:val="18"/>
              </w:rPr>
              <w:t>ключевая + 3,9%</w:t>
            </w:r>
          </w:p>
        </w:tc>
        <w:tc>
          <w:tcPr>
            <w:tcW w:type="dxa" w:w="2154"/>
            <w:shd w:val="clear" w:fill="F6EEE0"/>
            <w:tcMar>
              <w:top w:w="120" w:type="dxa"/>
              <w:bottom w:w="120" w:type="dxa"/>
              <w:start w:w="120" w:type="dxa"/>
              <w:end w:w="110" w:type="dxa"/>
              <w:left w:w="120" w:type="dxa"/>
              <w:right w:w="11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16161A"/>
                <w:sz w:val="19"/>
              </w:rPr>
              <w:t>0,15%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324" w:lineRule="auto"/>
      </w:pPr>
      <w:r>
        <w:rPr>
          <w:rFonts w:ascii="Calibri" w:hAnsi="Calibri" w:cs="Calibri"/>
          <w:b w:val="0"/>
          <w:i w:val="0"/>
          <w:color w:val="8C887F"/>
          <w:sz w:val="15"/>
        </w:rPr>
        <w:t>Ставки указаны без НДС и носят индикативный характер. «Комиссия за ресурсы» = ключевая ставка Банка России + указанная надбавка, годовых.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680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16979" cy="2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79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8C887F"/>
                <w:sz w:val="16"/>
                <w:spacing w:val="30"/>
              </w:rPr>
              <w:t>05 · СТАРТ СОТРУДНИЧЕСТВА</w:t>
            </w:r>
          </w:p>
        </w:tc>
      </w:tr>
    </w:tbl>
    <w:p>
      <w:pPr>
        <w:spacing w:before="0" w:after="120" w:line="276" w:lineRule="auto"/>
        <w:pBdr>
          <w:bottom w:val="single" w:sz="6" w:space="1" w:color="E7E2D8"/>
        </w:pBdr>
      </w:pPr>
    </w:p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B0895A"/>
          <w:sz w:val="16"/>
          <w:spacing w:val="40"/>
        </w:rPr>
        <w:t>КАК МЫ НАЧИНАЕМ РАБОТУ</w:t>
      </w:r>
    </w:p>
    <w:p>
      <w:pPr>
        <w:spacing w:before="0" w:after="200" w:line="276" w:lineRule="auto"/>
      </w:pPr>
      <w:r>
        <w:rPr>
          <w:rFonts w:ascii="Georgia" w:hAnsi="Georgia" w:cs="Georgia"/>
          <w:b/>
          <w:i w:val="0"/>
          <w:color w:val="16161A"/>
          <w:sz w:val="38"/>
        </w:rPr>
        <w:t>Пять шагов до первого финансирования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33"/>
        <w:gridCol w:w="4933"/>
      </w:tblGrid>
      <w:tr>
        <w:tc>
          <w:tcPr>
            <w:tcW w:type="dxa" w:w="794"/>
            <w:tcMar>
              <w:top w:w="80" w:type="dxa"/>
              <w:bottom w:w="80" w:type="dxa"/>
              <w:start w:w="20" w:type="dxa"/>
              <w:end w:w="40" w:type="dxa"/>
              <w:left w:w="20" w:type="dxa"/>
              <w:right w:w="40" w:type="dxa"/>
            </w:tcMar>
            <w:vAlign w:val="top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8C6F45"/>
                <w:sz w:val="26"/>
              </w:rPr>
              <w:t>1</w:t>
            </w:r>
          </w:p>
        </w:tc>
        <w:tc>
          <w:tcPr>
            <w:tcW w:type="dxa" w:w="9071"/>
            <w:tcMar>
              <w:top w:w="60" w:type="dxa"/>
              <w:bottom w:w="140" w:type="dxa"/>
              <w:start w:w="120" w:type="dxa"/>
              <w:end w:w="40" w:type="dxa"/>
              <w:left w:w="120" w:type="dxa"/>
              <w:right w:w="40" w:type="dxa"/>
            </w:tcMar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Заявка и пакет документов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Вы направляете комплект документов по компании и дебиторам — мы помогаем сформировать перечень.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20" w:type="dxa"/>
              <w:end w:w="40" w:type="dxa"/>
              <w:left w:w="20" w:type="dxa"/>
              <w:right w:w="40" w:type="dxa"/>
            </w:tcMar>
            <w:vAlign w:val="top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8C6F45"/>
                <w:sz w:val="26"/>
              </w:rPr>
              <w:t>2</w:t>
            </w:r>
          </w:p>
        </w:tc>
        <w:tc>
          <w:tcPr>
            <w:tcW w:type="dxa" w:w="9071"/>
            <w:tcMar>
              <w:top w:w="60" w:type="dxa"/>
              <w:bottom w:w="140" w:type="dxa"/>
              <w:start w:w="120" w:type="dxa"/>
              <w:end w:w="40" w:type="dxa"/>
              <w:left w:w="120" w:type="dxa"/>
              <w:right w:w="40" w:type="dxa"/>
            </w:tcMar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Финансовый анализ и оценка лимита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Анализируем вашу компанию и дебиторскую задолженность, рассчитываем индивидуальные параметры.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20" w:type="dxa"/>
              <w:end w:w="40" w:type="dxa"/>
              <w:left w:w="20" w:type="dxa"/>
              <w:right w:w="40" w:type="dxa"/>
            </w:tcMar>
            <w:vAlign w:val="top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8C6F45"/>
                <w:sz w:val="26"/>
              </w:rPr>
              <w:t>3</w:t>
            </w:r>
          </w:p>
        </w:tc>
        <w:tc>
          <w:tcPr>
            <w:tcW w:type="dxa" w:w="9071"/>
            <w:tcMar>
              <w:top w:w="60" w:type="dxa"/>
              <w:bottom w:w="140" w:type="dxa"/>
              <w:start w:w="120" w:type="dxa"/>
              <w:end w:w="40" w:type="dxa"/>
              <w:left w:w="120" w:type="dxa"/>
              <w:right w:w="40" w:type="dxa"/>
            </w:tcMar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Утверждение Кредитным комитетом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Кредитный комитет утверждает окончательные условия — в срок до 10 рабочих дней.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20" w:type="dxa"/>
              <w:end w:w="40" w:type="dxa"/>
              <w:left w:w="20" w:type="dxa"/>
              <w:right w:w="40" w:type="dxa"/>
            </w:tcMar>
            <w:vAlign w:val="top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8C6F45"/>
                <w:sz w:val="26"/>
              </w:rPr>
              <w:t>4</w:t>
            </w:r>
          </w:p>
        </w:tc>
        <w:tc>
          <w:tcPr>
            <w:tcW w:type="dxa" w:w="9071"/>
            <w:tcMar>
              <w:top w:w="60" w:type="dxa"/>
              <w:bottom w:w="140" w:type="dxa"/>
              <w:start w:w="120" w:type="dxa"/>
              <w:end w:w="40" w:type="dxa"/>
              <w:left w:w="120" w:type="dxa"/>
              <w:right w:w="40" w:type="dxa"/>
            </w:tcMar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Договор и подключение к ЛК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Подписываем договор факторинга и настраиваем электронный документооборот.</w:t>
            </w:r>
          </w:p>
        </w:tc>
      </w:tr>
      <w:tr>
        <w:tc>
          <w:tcPr>
            <w:tcW w:type="dxa" w:w="794"/>
            <w:tcMar>
              <w:top w:w="80" w:type="dxa"/>
              <w:bottom w:w="80" w:type="dxa"/>
              <w:start w:w="20" w:type="dxa"/>
              <w:end w:w="40" w:type="dxa"/>
              <w:left w:w="20" w:type="dxa"/>
              <w:right w:w="40" w:type="dxa"/>
            </w:tcMar>
            <w:vAlign w:val="top"/>
          </w:tcPr>
          <w:p>
            <w:pPr>
              <w:jc w:val="center"/>
            </w:pPr>
            <w:r>
              <w:rPr>
                <w:rFonts w:ascii="Georgia" w:hAnsi="Georgia" w:cs="Georgia"/>
                <w:b/>
                <w:i w:val="0"/>
                <w:color w:val="8C6F45"/>
                <w:sz w:val="26"/>
              </w:rPr>
              <w:t>5</w:t>
            </w:r>
          </w:p>
        </w:tc>
        <w:tc>
          <w:tcPr>
            <w:tcW w:type="dxa" w:w="9071"/>
            <w:tcMar>
              <w:top w:w="60" w:type="dxa"/>
              <w:bottom w:w="140" w:type="dxa"/>
              <w:start w:w="120" w:type="dxa"/>
              <w:end w:w="40" w:type="dxa"/>
              <w:left w:w="120" w:type="dxa"/>
              <w:right w:w="40" w:type="dxa"/>
            </w:tcMar>
          </w:tcPr>
          <w:p>
            <w:r>
              <w:rPr>
                <w:rFonts w:ascii="Georgia" w:hAnsi="Georgia" w:cs="Georgia"/>
                <w:b/>
                <w:i w:val="0"/>
                <w:color w:val="16161A"/>
                <w:sz w:val="23"/>
              </w:rPr>
              <w:t>Финансирование поставок</w:t>
            </w:r>
          </w:p>
          <w:p>
            <w:pPr>
              <w:spacing w:before="0" w:after="0" w:line="312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8"/>
              </w:rPr>
              <w:t>Уступаете денежные требования — и получаете финансирование до 100% от суммы счёта-фактуры.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c>
          <w:tcPr>
            <w:tcW w:type="dxa" w:w="9865"/>
            <w:shd w:val="clear" w:fill="16161A"/>
            <w:tcMar>
              <w:top w:w="300" w:type="dxa"/>
              <w:bottom w:w="300" w:type="dxa"/>
              <w:start w:w="300" w:type="dxa"/>
              <w:end w:w="300" w:type="dxa"/>
              <w:left w:w="300" w:type="dxa"/>
              <w:right w:w="30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CBA86B"/>
                <w:sz w:val="17"/>
                <w:spacing w:val="40"/>
              </w:rPr>
              <w:t>Готовы обсудить детали?</w:t>
            </w:r>
          </w:p>
          <w:p>
            <w:pPr>
              <w:spacing w:before="80" w:after="120" w:line="276" w:lineRule="auto"/>
            </w:pPr>
            <w:r>
              <w:rPr>
                <w:rFonts w:ascii="Georgia" w:hAnsi="Georgia" w:cs="Georgia"/>
                <w:b/>
                <w:i w:val="0"/>
                <w:color w:val="FFFFFF"/>
                <w:sz w:val="30"/>
              </w:rPr>
              <w:t>Илья Кириллин · +7 926 090 23 15</w:t>
            </w:r>
          </w:p>
          <w:p>
            <w:pPr>
              <w:spacing w:before="0" w:after="160" w:line="324" w:lineRule="auto"/>
            </w:pPr>
            <w:r>
              <w:rPr>
                <w:rFonts w:ascii="Calibri" w:hAnsi="Calibri" w:cs="Calibri"/>
                <w:b w:val="0"/>
                <w:i w:val="0"/>
                <w:color w:val="C9C6CE"/>
                <w:sz w:val="19"/>
              </w:rPr>
              <w:t>Свяжитесь с вашим персональным менеджером — и мы подготовим финальное предложение под параметры вашего бизнеса.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b/>
                <w:i w:val="0"/>
                <w:color w:val="FFDD2D"/>
                <w:sz w:val="19"/>
              </w:rPr>
              <w:t xml:space="preserve">i.a.kirillin@tbank.ru     </w:t>
            </w:r>
            <w:r>
              <w:rPr>
                <w:rFonts w:ascii="Calibri" w:hAnsi="Calibri" w:cs="Calibri"/>
                <w:b w:val="0"/>
                <w:i w:val="0"/>
                <w:color w:val="D7D4DC"/>
                <w:sz w:val="19"/>
              </w:rPr>
              <w:t>www.tbank.ru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66"/>
      </w:tblGrid>
      <w:tr>
        <w:tc>
          <w:tcPr>
            <w:tcW w:type="dxa" w:w="9865"/>
            <w:shd w:val="clear" w:fill="FBF9F5"/>
            <w:tcMar>
              <w:top w:w="140" w:type="dxa"/>
              <w:bottom w:w="14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line="324" w:lineRule="auto"/>
            </w:pPr>
            <w:r>
              <w:rPr>
                <w:rFonts w:ascii="Calibri" w:hAnsi="Calibri" w:cs="Calibri"/>
                <w:b w:val="0"/>
                <w:i w:val="0"/>
                <w:color w:val="8C887F"/>
                <w:sz w:val="15"/>
              </w:rPr>
              <w:t>Важно. Данное предложение является предварительным и подлежит рассмотрению Кредитным комитетом. Окончательные условия будут утверждены после передачи пакета документов с вашей стороны и финансового анализа компании. Документ не является публичной офертой в значении ст. 437 ГК РФ.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C887F"/>
        <w:sz w:val="15"/>
        <w:spacing w:val="20"/>
      </w:rPr>
      <w:t>РБ Факторинг · Группа Т-Банк   ·   Коммерческое предложение   ·  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A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