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Arial" w:cs="Arial" w:eastAsia="Arial" w:hAnsi="Arial"/>
          <w:b/>
          <w:bCs/>
          <w:color w:val="1B4F72"/>
          <w:sz w:val="56"/>
          <w:szCs w:val="56"/>
        </w:rPr>
        <w:t xml:space="preserve">BeScout</w:t>
      </w:r>
    </w:p>
    <w:p>
      <w:pPr>
        <w:spacing w:after="200"/>
      </w:pPr>
    </w:p>
    <w:p>
      <w:pPr>
        <w:jc w:val="center"/>
      </w:pPr>
      <w:r>
        <w:rPr>
          <w:rFonts w:ascii="Arial" w:cs="Arial" w:eastAsia="Arial" w:hAnsi="Arial"/>
          <w:b/>
          <w:bCs/>
          <w:color w:val="2E86C1"/>
          <w:sz w:val="40"/>
          <w:szCs w:val="40"/>
        </w:rPr>
        <w:t xml:space="preserve">LICENSING ROADMAP</w:t>
      </w:r>
    </w:p>
    <w:p>
      <w:pPr>
        <w:spacing w:after="100"/>
        <w:jc w:val="center"/>
      </w:pPr>
      <w:r>
        <w:rPr>
          <w:rFonts w:ascii="Arial" w:cs="Arial" w:eastAsia="Arial" w:hAnsi="Arial"/>
          <w:color w:val="7F8C8D"/>
          <w:sz w:val="28"/>
          <w:szCs w:val="28"/>
        </w:rPr>
        <w:t xml:space="preserve">Strategischer Lizenzierungsplan</w:t>
      </w:r>
    </w:p>
    <w:p>
      <w:pPr>
        <w:spacing w:after="100"/>
        <w:jc w:val="center"/>
      </w:pPr>
      <w:r>
        <w:rPr>
          <w:rFonts w:ascii="Arial" w:cs="Arial" w:eastAsia="Arial" w:hAnsi="Arial"/>
          <w:color w:val="7F8C8D"/>
          <w:sz w:val="22"/>
          <w:szCs w:val="22"/>
        </w:rPr>
        <w:t xml:space="preserve">Malta Ltd. | CASP | MGA Gaming | EU Passporting</w:t>
      </w:r>
    </w:p>
    <w:p>
      <w:pPr>
        <w:spacing w:after="600"/>
      </w:pPr>
    </w:p>
    <w:p>
      <w:pPr>
        <w:jc w:val="center"/>
      </w:pPr>
      <w:r>
        <w:rPr>
          <w:rFonts w:ascii="Arial" w:cs="Arial" w:eastAsia="Arial" w:hAnsi="Arial"/>
          <w:b/>
          <w:bCs/>
          <w:color w:val="C0392B"/>
          <w:sz w:val="24"/>
          <w:szCs w:val="24"/>
        </w:rPr>
        <w:t xml:space="preserve">VERTRAULICH</w:t>
      </w:r>
    </w:p>
    <w:p>
      <w:pPr>
        <w:jc w:val="center"/>
      </w:pPr>
      <w:r>
        <w:rPr>
          <w:rFonts w:ascii="Arial" w:cs="Arial" w:eastAsia="Arial" w:hAnsi="Arial"/>
          <w:color w:val="7F8C8D"/>
          <w:sz w:val="20"/>
          <w:szCs w:val="20"/>
        </w:rPr>
        <w:t xml:space="preserve">Version 1.0 | Februar 2026</w:t>
      </w:r>
    </w:p>
    <w:p>
      <w:pPr>
        <w:jc w:val="center"/>
      </w:pPr>
      <w:r>
        <w:rPr>
          <w:rFonts w:ascii="Arial" w:cs="Arial" w:eastAsia="Arial" w:hAnsi="Arial"/>
          <w:i/>
          <w:iCs/>
          <w:color w:val="2E86C1"/>
          <w:sz w:val="20"/>
          <w:szCs w:val="20"/>
        </w:rPr>
        <w:t xml:space="preserve">Prinzip: "Legal Minimum First — Scale Licenses with Revenue"</w:t>
      </w:r>
    </w:p>
    <w:p>
      <w:pPr>
        <w:sectPr>
          <w:pgSz w:w="11906" w:h="16838"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BeScout kombiniert drei regulatorische Bereiche: Crypto/Token (MiCA/CASP), Fantasy Sports (Gaming), und Fan Engagement mit Zahlungsverkehr (E-Money/PSP). Dieser Roadmap definiert eine kaskadierende Lizenzierungsstrategie, bei der jede Lizenz erst dann beantragt wird, wenn sie durch ein konkretes Feature oder eine Umsatzschwelle getriggert wird.</w:t>
      </w:r>
    </w:p>
    <w:p>
      <w:pPr>
        <w:spacing w:after="50"/>
      </w:pPr>
    </w:p>
    <w:p>
      <w:pPr>
        <w:spacing w:after="120"/>
      </w:pPr>
      <w:r>
        <w:rPr>
          <w:b/>
          <w:bCs/>
          <w:color w:val="1B4F72"/>
        </w:rPr>
        <w:t xml:space="preserve">Kernprinzip: </w:t>
      </w:r>
      <w:r>
        <w:t xml:space="preserve">Solange kein echtes Geld gewonnen/verloren werden kann und kein Cash-out existiert, operiert BeScout als Entertainment-Plattform mit internen Credits. Jede Lizenz wird erst beantragt, wenn der entsprechende Revenue-Stream sie finanziert.</w:t>
      </w:r>
    </w:p>
    <w:p>
      <w:pPr>
        <w:spacing w:after="100"/>
      </w:pPr>
    </w:p>
    <w:p>
      <w:pPr>
        <w:pStyle w:val="Heading1"/>
      </w:pPr>
      <w:r>
        <w:t xml:space="preserve">Lizenz-Matrix: Was, Wann, Warum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1800"/>
        <w:gridCol w:w="1300"/>
        <w:gridCol w:w="1426"/>
      </w:tblGrid>
      <w:tr>
        <w:tc>
          <w:tcPr>
            <w:tcW w:type="dxa" w:w="18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Lizenz</w:t>
            </w:r>
          </w:p>
        </w:tc>
        <w:tc>
          <w:tcPr>
            <w:tcW w:type="dxa" w:w="1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Trigger-Event</w:t>
            </w:r>
          </w:p>
        </w:tc>
        <w:tc>
          <w:tcPr>
            <w:tcW w:type="dxa" w:w="1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Kosten</w:t>
            </w:r>
          </w:p>
        </w:tc>
        <w:tc>
          <w:tcPr>
            <w:tcW w:type="dxa" w:w="18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Was wird freigeschaltet</w:t>
            </w:r>
          </w:p>
        </w:tc>
        <w:tc>
          <w:tcPr>
            <w:tcW w:type="dxa" w:w="13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Phase</w:t>
            </w:r>
          </w:p>
        </w:tc>
        <w:tc>
          <w:tcPr>
            <w:tcW w:type="dxa" w:w="1426"/>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Status</w:t>
            </w:r>
          </w:p>
        </w:tc>
      </w:tr>
      <w:tr>
        <w:tc>
          <w:tcPr>
            <w:tcW w:type="dxa" w:w="1800"/>
            <w:gridSpan w:val="1"/>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Malta Ltd.
Company Formation</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Tag 1
Gründungsentscheidung</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€6.900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Rechtsfähigkeit, Bankonto, Verträge mit Clubs</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Phase 0
M1</w:t>
            </w:r>
          </w:p>
        </w:tc>
        <w:tc>
          <w:tcPr>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sz w:val="16"/>
                <w:szCs w:val="16"/>
              </w:rPr>
              <w:t xml:space="preserve">PFLICHT</w:t>
            </w:r>
          </w:p>
        </w:tc>
      </w:tr>
      <w:tr>
        <w:tc>
          <w:tcPr>
            <w:tcW w:type="dxa" w:w="1800"/>
            <w:gridSpan w:val="1"/>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AML/KYC
Compliance Setup</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Vor erstem User-Signup</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€4.500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User-Registrierung, BSD-Verkauf, Club-Onboarding</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Phase 0
M2-3</w:t>
            </w:r>
          </w:p>
        </w:tc>
        <w:tc>
          <w:tcPr>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sz w:val="16"/>
                <w:szCs w:val="16"/>
              </w:rPr>
              <w:t xml:space="preserve">PFLICHT</w:t>
            </w:r>
          </w:p>
        </w:tc>
      </w:tr>
      <w:tr>
        <w:tc>
          <w:tcPr>
            <w:tcW w:type="dxa" w:w="18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MiCA €1M
Exemption</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Erster BSD-Verkauf
an Fans</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€0
(built-in)</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 als Platform Credits, max €1M/12 Monate, kein Cash-out</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Phase 1
M4-10</w:t>
            </w:r>
          </w:p>
        </w:tc>
        <w:tc>
          <w:tcPr>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sz w:val="16"/>
                <w:szCs w:val="16"/>
              </w:rPr>
              <w:t xml:space="preserve">TRIGGER</w:t>
            </w:r>
          </w:p>
        </w:tc>
      </w:tr>
      <w:tr>
        <w:tc>
          <w:tcPr>
            <w:tcW w:type="dxa" w:w="18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CASP Lizenz
(MFSA Class 2)</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 Sales &gt;€500K
ODER $SCOUT Launch</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€181.000
(inkl. €125K Kapital)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$SCOUT Token, Cash-out, Fiat On-Ramp, EU Passporting, Exchange Listing</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Phase 3
M11-14</w:t>
            </w:r>
          </w:p>
        </w:tc>
        <w:tc>
          <w:tcPr>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sz w:val="16"/>
                <w:szCs w:val="16"/>
              </w:rPr>
              <w:t xml:space="preserve">TRIGGER</w:t>
            </w:r>
          </w:p>
        </w:tc>
      </w:tr>
      <w:tr>
        <w:tc>
          <w:tcPr>
            <w:tcW w:type="dxa" w:w="18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MGA Gaming
Lizenz (B2C)</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Fantasy mit
echt-wertigen Preisen
ODER Paid Entry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€50.000-80.000
(Setup + Y1)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Paid Fantasy Leagues, DPC Trading mit Cash-Value, Turniere mit Preisen, EU-weites Gaming</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Phase 3-4
M12-16</w:t>
            </w:r>
          </w:p>
        </w:tc>
        <w:tc>
          <w:tcPr>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sz w:val="16"/>
                <w:szCs w:val="16"/>
              </w:rPr>
              <w:t xml:space="preserve">TRIGGER</w:t>
            </w:r>
          </w:p>
        </w:tc>
      </w:tr>
      <w:tr>
        <w:tc>
          <w:tcPr>
            <w:tcW w:type="dxa" w:w="18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E-Money / PSP
Partnership</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Fiat On-/Off-Ramp
für $SCOUT</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€5.000-15.000
(Integration)</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Direkte EUR/USD ↔ $SCOUT Konversion, SEPA Auszahlungen</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Phase 4
M14+</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sz w:val="16"/>
                <w:szCs w:val="16"/>
              </w:rPr>
              <w:t xml:space="preserve">GEPLANT</w:t>
            </w:r>
          </w:p>
        </w:tc>
      </w:tr>
      <w:tr>
        <w:tc>
          <w:tcPr>
            <w:tcW w:type="dxa" w:w="18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Data Protection
(KVKK Türkei)</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Erster türkischer
User-Signup</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€1.000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Türkische User legal bedienen, Datenspeicherung konform</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Phase 1
M3-4</w:t>
            </w:r>
          </w:p>
        </w:tc>
        <w:tc>
          <w:tcPr>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sz w:val="16"/>
                <w:szCs w:val="16"/>
              </w:rPr>
              <w:t xml:space="preserve">PFLICHT</w:t>
            </w:r>
          </w:p>
        </w:tc>
      </w:tr>
    </w:tbl>
    <w:p>
      <w:pPr>
        <w:spacing w:after="100"/>
      </w:pPr>
    </w:p>
    <w:p>
      <w:r>
        <w:br w:type="page"/>
      </w:r>
    </w:p>
    <w:p>
      <w:pPr>
        <w:pStyle w:val="Heading1"/>
      </w:pPr>
      <w:r>
        <w:t xml:space="preserve">Phase 0: Foundation (Monat 1-3)</w:t>
      </w:r>
    </w:p>
    <w:p>
      <w:pPr>
        <w:spacing w:after="120"/>
      </w:pPr>
      <w:r>
        <w:rPr>
          <w:b/>
          <w:bCs/>
        </w:rPr>
        <w:t xml:space="preserve">Status: </w:t>
      </w:r>
      <w:r>
        <w:t xml:space="preserve">Kein Revenue. Bootstrapping. Minimale regulatorische Verpflichtungen.</w:t>
      </w:r>
    </w:p>
    <w:p>
      <w:pPr>
        <w:pStyle w:val="Heading2"/>
      </w:pPr>
      <w:r>
        <w:t xml:space="preserve">Was wird gegründet</w:t>
      </w:r>
    </w:p>
    <w:p>
      <w:pPr>
        <w:spacing w:after="120"/>
      </w:pPr>
      <w:r>
        <w:t xml:space="preserve">Malta Limited Company mit Standard-Setup: CSP, Virtual Office, Nominee Director (EU-Resident Pflicht), Bankkonto. Parallel: AML/KYC Policy erstellen, ToS + Privacy Policy (MiCA + DSGVO + KVKK dreisprachig), BSD Legal Opinion als Utility Token.</w:t>
      </w:r>
    </w:p>
    <w:p>
      <w:pPr>
        <w:pStyle w:val="Heading2"/>
      </w:pPr>
      <w:r>
        <w:t xml:space="preserve">Was ist NICHT nötig</w:t>
      </w:r>
    </w:p>
    <w:p>
      <w:pPr>
        <w:pStyle w:val="ListParagraph"/>
        <w:numPr>
          <w:ilvl w:val="0"/>
          <w:numId w:val="2"/>
        </w:numPr>
        <w:spacing w:after="60"/>
      </w:pPr>
      <w:r>
        <w:rPr>
          <w:b/>
          <w:bCs/>
          <w:sz w:val="20"/>
          <w:szCs w:val="20"/>
        </w:rPr>
        <w:t xml:space="preserve">Keine CASP-Lizenz </w:t>
      </w:r>
      <w:r>
        <w:rPr>
          <w:sz w:val="20"/>
          <w:szCs w:val="20"/>
        </w:rPr>
        <w:t xml:space="preserve">— BSD wird noch nicht verkauft, kein Crypto-Asset im Spiel</w:t>
      </w:r>
    </w:p>
    <w:p>
      <w:pPr>
        <w:pStyle w:val="ListParagraph"/>
        <w:numPr>
          <w:ilvl w:val="0"/>
          <w:numId w:val="2"/>
        </w:numPr>
        <w:spacing w:after="60"/>
      </w:pPr>
      <w:r>
        <w:rPr>
          <w:b/>
          <w:bCs/>
          <w:sz w:val="20"/>
          <w:szCs w:val="20"/>
        </w:rPr>
        <w:t xml:space="preserve">Keine Gaming-Lizenz </w:t>
      </w:r>
      <w:r>
        <w:rPr>
          <w:sz w:val="20"/>
          <w:szCs w:val="20"/>
        </w:rPr>
        <w:t xml:space="preserve">— Plattform ist noch nicht live für Enduser</w:t>
      </w:r>
    </w:p>
    <w:p>
      <w:pPr>
        <w:pStyle w:val="ListParagraph"/>
        <w:numPr>
          <w:ilvl w:val="0"/>
          <w:numId w:val="2"/>
        </w:numPr>
        <w:spacing w:after="60"/>
      </w:pPr>
      <w:r>
        <w:rPr>
          <w:b/>
          <w:bCs/>
          <w:sz w:val="20"/>
          <w:szCs w:val="20"/>
        </w:rPr>
        <w:t xml:space="preserve">Keine E-Money-Lizenz </w:t>
      </w:r>
      <w:r>
        <w:rPr>
          <w:sz w:val="20"/>
          <w:szCs w:val="20"/>
        </w:rPr>
        <w:t xml:space="preserve">— Kein Zahlungsverkehr außer Club-Invoicing (B2B, Stripe)</w:t>
      </w:r>
    </w:p>
    <w:p>
      <w:pPr>
        <w:pStyle w:val="ListParagraph"/>
        <w:numPr>
          <w:ilvl w:val="0"/>
          <w:numId w:val="2"/>
        </w:numPr>
        <w:spacing w:after="60"/>
      </w:pPr>
      <w:r>
        <w:rPr>
          <w:b/>
          <w:bCs/>
          <w:sz w:val="20"/>
          <w:szCs w:val="20"/>
        </w:rPr>
        <w:t xml:space="preserve">Keine KVKK-Registrierung </w:t>
      </w:r>
      <w:r>
        <w:rPr>
          <w:sz w:val="20"/>
          <w:szCs w:val="20"/>
        </w:rPr>
        <w:t xml:space="preserve">— Noch keine türkischen User-Daten (erst bei Signup)</w:t>
      </w:r>
    </w:p>
    <w:p>
      <w:pPr>
        <w:pStyle w:val="Heading2"/>
      </w:pPr>
      <w:r>
        <w:t xml:space="preserve">Feature-Scope ohne Lizenz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Feature</w:t>
            </w:r>
          </w:p>
        </w:tc>
        <w:tc>
          <w:tcPr>
            <w:tcW w:type="dxa" w:w="20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Erlaubt?</w:t>
            </w:r>
          </w:p>
        </w:tc>
        <w:tc>
          <w:tcPr>
            <w:tcW w:type="dxa" w:w="20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Lizenz nötig?</w:t>
            </w:r>
          </w:p>
        </w:tc>
        <w:tc>
          <w:tcPr>
            <w:tcW w:type="dxa" w:w="2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Begründung</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Club-Dashboard</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 Ja</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Nein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B2B SaaS, kein Enduser</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Spieler-Profile anzeigen</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 Ja</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Nein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Informationsplattform</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Club-Verträge abschließen</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 Ja</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Nein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B2B Services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Demo-Accounts für Pitch</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 Ja</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Nein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Interne Tests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 verkaufen</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 Nein</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MiCA Exemption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Erst mit AML/ToS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Fantasy Live</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 Nein</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Siehe Phase 1</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Braucht User + BSD</w:t>
            </w:r>
          </w:p>
        </w:tc>
      </w:tr>
    </w:tbl>
    <w:p>
      <w:pPr>
        <w:spacing w:after="50"/>
      </w:pPr>
    </w:p>
    <w:p>
      <w:pPr>
        <w:spacing w:after="120"/>
      </w:pPr>
      <w:r>
        <w:rPr>
          <w:b/>
          <w:bCs/>
        </w:rPr>
        <w:t xml:space="preserve">Kosten Phase 0: </w:t>
      </w:r>
      <w:r>
        <w:t xml:space="preserve">€22.400 (Gründung + Legal + Tech + Sales Setup)</w:t>
      </w:r>
    </w:p>
    <w:p>
      <w:pPr>
        <w:spacing w:after="120"/>
      </w:pPr>
      <w:r>
        <w:rPr>
          <w:b/>
          <w:bCs/>
        </w:rPr>
        <w:t xml:space="preserve">Finanzierung: </w:t>
      </w:r>
      <w:r>
        <w:t xml:space="preserve">Eigenkapital / Angel Investment</w:t>
      </w:r>
    </w:p>
    <w:p>
      <w:r>
        <w:br w:type="page"/>
      </w:r>
    </w:p>
    <w:p>
      <w:pPr>
        <w:pStyle w:val="Heading1"/>
      </w:pPr>
      <w:r>
        <w:t xml:space="preserve">Phase 1: Credit Economy (Monat 4-10)</w:t>
      </w:r>
    </w:p>
    <w:p>
      <w:pPr>
        <w:spacing w:after="120"/>
      </w:pPr>
      <w:r>
        <w:rPr>
          <w:b/>
          <w:bCs/>
          <w:color w:val="E67E22"/>
        </w:rPr>
        <w:t xml:space="preserve">Trigger: </w:t>
      </w:r>
      <w:r>
        <w:t xml:space="preserve">Erste 5 Founding Partner Clubs sind onboarded. Plattform geht für Fans live.</w:t>
      </w:r>
    </w:p>
    <w:p>
      <w:pPr>
        <w:pStyle w:val="Heading2"/>
      </w:pPr>
      <w:r>
        <w:t xml:space="preserve">Regulatorische Basis</w:t>
      </w:r>
    </w:p>
    <w:p>
      <w:pPr>
        <w:spacing w:after="120"/>
      </w:pPr>
      <w:r>
        <w:t xml:space="preserve">BSD operiert als geschlossenes Credit-System. Fans kaufen BSD über In-App-Purchase (Apple/Google) oder Stripe. BSD ist NICHT übertragbar, NICHT auszahlbar, NICHT auf Exchanges handelbar. Das macht BSD zu einem internen Loyalty-/Gaming-Credit — vergleichbar mit V-Bucks (Fortnite), FIFA Points, oder Sorare-Credits.</w:t>
      </w:r>
    </w:p>
    <w:p>
      <w:pPr>
        <w:pStyle w:val="Heading2"/>
      </w:pPr>
      <w:r>
        <w:t xml:space="preserve">MiCA €1M Exemption — Die Spielregeln</w:t>
      </w:r>
    </w:p>
    <w:p>
      <w:pPr>
        <w:pStyle w:val="ListParagraph"/>
        <w:numPr>
          <w:ilvl w:val="0"/>
          <w:numId w:val="2"/>
        </w:numPr>
        <w:spacing w:after="60"/>
      </w:pPr>
      <w:r>
        <w:rPr>
          <w:b/>
          <w:bCs/>
          <w:sz w:val="20"/>
          <w:szCs w:val="20"/>
        </w:rPr>
        <w:t xml:space="preserve">Max. €1M BSD-Sales in 12 Monaten </w:t>
      </w:r>
      <w:r>
        <w:rPr>
          <w:sz w:val="20"/>
          <w:szCs w:val="20"/>
        </w:rPr>
        <w:t xml:space="preserve">— danach MUSS CASP-Lizenz stehen</w:t>
      </w:r>
    </w:p>
    <w:p>
      <w:pPr>
        <w:pStyle w:val="ListParagraph"/>
        <w:numPr>
          <w:ilvl w:val="0"/>
          <w:numId w:val="2"/>
        </w:numPr>
        <w:spacing w:after="60"/>
      </w:pPr>
      <w:r>
        <w:rPr>
          <w:b/>
          <w:bCs/>
          <w:sz w:val="20"/>
          <w:szCs w:val="20"/>
        </w:rPr>
        <w:t xml:space="preserve">Kein Cash-out: </w:t>
      </w:r>
      <w:r>
        <w:rPr>
          <w:sz w:val="20"/>
          <w:szCs w:val="20"/>
        </w:rPr>
        <w:t xml:space="preserve">BSD können NICHT in EUR/USD zurückgetauscht werden</w:t>
      </w:r>
    </w:p>
    <w:p>
      <w:pPr>
        <w:pStyle w:val="ListParagraph"/>
        <w:numPr>
          <w:ilvl w:val="0"/>
          <w:numId w:val="2"/>
        </w:numPr>
        <w:spacing w:after="60"/>
      </w:pPr>
      <w:r>
        <w:rPr>
          <w:b/>
          <w:bCs/>
          <w:sz w:val="20"/>
          <w:szCs w:val="20"/>
        </w:rPr>
        <w:t xml:space="preserve">Kein P2P-Transfer: </w:t>
      </w:r>
      <w:r>
        <w:rPr>
          <w:sz w:val="20"/>
          <w:szCs w:val="20"/>
        </w:rPr>
        <w:t xml:space="preserve">User können BSD NICHT an andere User senden</w:t>
      </w:r>
    </w:p>
    <w:p>
      <w:pPr>
        <w:pStyle w:val="ListParagraph"/>
        <w:numPr>
          <w:ilvl w:val="0"/>
          <w:numId w:val="2"/>
        </w:numPr>
        <w:spacing w:after="60"/>
      </w:pPr>
      <w:r>
        <w:rPr>
          <w:b/>
          <w:bCs/>
          <w:sz w:val="20"/>
          <w:szCs w:val="20"/>
        </w:rPr>
        <w:t xml:space="preserve">Kein Marktpreis: </w:t>
      </w:r>
      <w:r>
        <w:rPr>
          <w:sz w:val="20"/>
          <w:szCs w:val="20"/>
        </w:rPr>
        <w:t xml:space="preserve">BSD hat einen festen Plattformpreis (z.B. 1 BSD = €0,10)</w:t>
      </w:r>
    </w:p>
    <w:p>
      <w:pPr>
        <w:pStyle w:val="ListParagraph"/>
        <w:numPr>
          <w:ilvl w:val="0"/>
          <w:numId w:val="2"/>
        </w:numPr>
        <w:spacing w:after="60"/>
      </w:pPr>
      <w:r>
        <w:rPr>
          <w:b/>
          <w:bCs/>
          <w:sz w:val="20"/>
          <w:szCs w:val="20"/>
        </w:rPr>
        <w:t xml:space="preserve">Keine Rendite-Versprechen: </w:t>
      </w:r>
      <w:r>
        <w:rPr>
          <w:sz w:val="20"/>
          <w:szCs w:val="20"/>
        </w:rPr>
        <w:t xml:space="preserve">"Credits für Plattform-Features, kein Investment"</w:t>
      </w:r>
    </w:p>
    <w:p>
      <w:pPr>
        <w:pStyle w:val="Heading2"/>
      </w:pPr>
      <w:r>
        <w:t xml:space="preserve">Feature-Matrix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200"/>
        <w:gridCol w:w="3026"/>
      </w:tblGrid>
      <w:tr>
        <w:tc>
          <w:tcPr>
            <w:tcW w:type="dxa" w:w="2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Feature</w:t>
            </w:r>
          </w:p>
        </w:tc>
        <w:tc>
          <w:tcPr>
            <w:tcW w:type="dxa" w:w="1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Status</w:t>
            </w:r>
          </w:p>
        </w:tc>
        <w:tc>
          <w:tcPr>
            <w:tcW w:type="dxa" w:w="1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Lizenz</w:t>
            </w:r>
          </w:p>
        </w:tc>
        <w:tc>
          <w:tcPr>
            <w:tcW w:type="dxa" w:w="1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Währung</w:t>
            </w:r>
          </w:p>
        </w:tc>
        <w:tc>
          <w:tcPr>
            <w:tcW w:type="dxa" w:w="3026"/>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Geofencing</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DPC Kaufen (IPO)</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Live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MiCA Exempt</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 only</w:t>
            </w:r>
          </w:p>
        </w:tc>
        <w:tc>
          <w:tcPr>
            <w:tcW w:type="dxa" w:w="30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Global — kein Cash-Value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DPC Trading (P2P)</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Live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MiCA Exempt</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 only</w:t>
            </w:r>
          </w:p>
        </w:tc>
        <w:tc>
          <w:tcPr>
            <w:tcW w:type="dxa" w:w="30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Global — internes Orderbuch</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Fantasy (Free)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Live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Keine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Kostenlos</w:t>
            </w:r>
          </w:p>
        </w:tc>
        <w:tc>
          <w:tcPr>
            <w:tcW w:type="dxa" w:w="30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Global — Free-to-Play, BSD-Preise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Fantasy (Paid Entry)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Soft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Grauzone*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 Entry</w:t>
            </w:r>
          </w:p>
        </w:tc>
        <w:tc>
          <w:tcPr>
            <w:tcW w:type="dxa" w:w="30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EU only (ohne DE, FR) — Credits-Einsatz</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Votes / Polls</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Live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Keine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w:t>
            </w:r>
          </w:p>
        </w:tc>
        <w:tc>
          <w:tcPr>
            <w:tcW w:type="dxa" w:w="30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Global — Engagement, kein Gewinn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Fan Pass (In-App)</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Live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Keine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EUR via IAP</w:t>
            </w:r>
          </w:p>
        </w:tc>
        <w:tc>
          <w:tcPr>
            <w:tcW w:type="dxa" w:w="30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Global — Apple/Google wickeln ab</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Club Ad Spaces</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Live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Keine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EUR B2B</w:t>
            </w:r>
          </w:p>
        </w:tc>
        <w:tc>
          <w:tcPr>
            <w:tcW w:type="dxa" w:w="30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Global — B2B Werbeflächen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Cash-Out BSD</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Gesperrt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CASP nötig</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30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Nicht verfügbar bis Phase 3</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$SCOUT Token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Gesperrt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CASP nötig</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30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Nicht verfügbar bis Phase 3</w:t>
            </w:r>
          </w:p>
        </w:tc>
      </w:tr>
    </w:tbl>
    <w:p>
      <w:pPr>
        <w:spacing w:after="50"/>
      </w:pPr>
    </w:p>
    <w:p>
      <w:pPr>
        <w:spacing w:after="120"/>
      </w:pPr>
      <w:r>
        <w:rPr>
          <w:b/>
          <w:bCs/>
          <w:i/>
          <w:iCs/>
        </w:rPr>
        <w:t xml:space="preserve">* Fantasy Paid Entry mit BSD: </w:t>
      </w:r>
      <w:r>
        <w:rPr>
          <w:i/>
          <w:iCs/>
        </w:rPr>
        <w:t xml:space="preserve">Solange BSD keinen Cash-Out hat, argumentiert man: User setzen Credits ein, nicht Geld. Gewinn = mehr Credits. Kein Glücksspiel nach EU-Definition, da kein "Vermögenswert" riskiert wird. Trotzdem: In DE, FR, und AT vorsichtshalber nur Free-to-Play anbieten.</w:t>
      </w:r>
    </w:p>
    <w:p>
      <w:pPr>
        <w:pStyle w:val="Heading2"/>
      </w:pPr>
      <w:r>
        <w:t xml:space="preserve">Geofencing-Strategie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Region</w:t>
            </w:r>
          </w:p>
        </w:tc>
        <w:tc>
          <w:tcPr>
            <w:tcW w:type="dxa" w:w="34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Volles Programm</w:t>
            </w:r>
          </w:p>
        </w:tc>
        <w:tc>
          <w:tcPr>
            <w:tcW w:type="dxa" w:w="34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Einschränkungen</w:t>
            </w:r>
          </w:p>
        </w:tc>
      </w:tr>
      <w:tr>
        <w:tc>
          <w:tcPr>
            <w:tcW w:type="dxa" w:w="22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Türkei</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DPC Browse, Free Fantasy, Votes, Club Content, Fan Pass</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KEIN Paid Fantasy, KEIN Trading mit BSD-Einsatz. 
Free Variante: Fantasy ohne Entry Fee, Trading als "Watchlist" mit virtuellem Portfolio</w:t>
            </w:r>
          </w:p>
        </w:tc>
      </w:tr>
      <w:tr>
        <w:tc>
          <w:tcPr>
            <w:tcW w:type="dxa" w:w="22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Deutschland</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DPC, Free Fantasy, Votes, Fan Pass, BSD Kauf</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KEIN Paid Fantasy Entry. 
GlüSpStV erfordert Lizenz für Echtgeld-Fantasy. BSD-Credits = Grauzone → sicherheitshalber Free Only</w:t>
            </w:r>
          </w:p>
        </w:tc>
      </w:tr>
      <w:tr>
        <w:tc>
          <w:tcPr>
            <w:tcW w:type="dxa" w:w="22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Frankreich</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DPC, Free Fantasy, Votes, Fan Pass, BSD Kauf</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KEIN Paid Fantasy. ANJ-Lizenz nötig für Daily Fantasy mit Einsatz. Free OK.</w:t>
            </w:r>
          </w:p>
        </w:tc>
      </w:tr>
      <w:tr>
        <w:tc>
          <w:tcPr>
            <w:tcW w:type="dxa" w:w="22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Rest EU / Malta</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ALLES: DPC, Paid Fantasy (BSD), Trading, Votes, Fan Pass</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Volles Programm. BSD = Credits, kein Cash-Out = kein reguliertes Glücksspiel</w:t>
            </w:r>
          </w:p>
        </w:tc>
      </w:tr>
      <w:tr>
        <w:tc>
          <w:tcPr>
            <w:tcW w:type="dxa" w:w="22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UK</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DPC, Free Fantasy, Votes, Fan Pass</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KEIN Paid Fantasy. UKGC klassifiziert DFS als Remote Gambling. Braucht eigene UK-Lizenz. 
Free Variante bis UK-Lizenz steht.</w:t>
            </w:r>
          </w:p>
        </w:tc>
      </w:tr>
      <w:tr>
        <w:tc>
          <w:tcPr>
            <w:tcW w:type="dxa" w:w="22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Rest of World</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Alles verfügbar</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Kein EU-Recht anwendbar. ToS regeln Verhältnis. Risikoländer (USA, China) ausschließen.</w:t>
            </w:r>
          </w:p>
        </w:tc>
      </w:tr>
    </w:tbl>
    <w:p>
      <w:pPr>
        <w:spacing w:after="50"/>
      </w:pPr>
    </w:p>
    <w:p>
      <w:pPr>
        <w:spacing w:after="120"/>
      </w:pPr>
      <w:r>
        <w:rPr>
          <w:b/>
          <w:bCs/>
          <w:color w:val="1B4F72"/>
        </w:rPr>
        <w:t xml:space="preserve">Free Variante für eingeschränkte Länder: </w:t>
      </w:r>
      <w:r>
        <w:t xml:space="preserve">User sehen denselben Content, können Free Fantasy spielen, DPCs browsen, und an Votes teilnehmen. Sie sehen die Paid Features als "Coming Soon" oder "Verfügbar in deiner Region mit BeScout Pro". Wer das volle Erlebnis will, findet seinen Weg — das ist nicht deine Verantwortung.</w:t>
      </w:r>
    </w:p>
    <w:p>
      <w:r>
        <w:br w:type="page"/>
      </w:r>
    </w:p>
    <w:p>
      <w:pPr>
        <w:pStyle w:val="Heading1"/>
      </w:pPr>
      <w:r>
        <w:t xml:space="preserve">Phase 2: Revenue Ramp (Monat 8-10)</w:t>
      </w:r>
    </w:p>
    <w:p>
      <w:pPr>
        <w:spacing w:after="120"/>
      </w:pPr>
      <w:r>
        <w:rPr>
          <w:b/>
          <w:bCs/>
          <w:color w:val="E67E22"/>
        </w:rPr>
        <w:t xml:space="preserve">Trigger: </w:t>
      </w:r>
      <w:r>
        <w:t xml:space="preserve">15-20 Clubs live. €30K+/mo Revenue. BSD-Sales steigen. €1M Grenze rückt näher.</w:t>
      </w:r>
    </w:p>
    <w:p>
      <w:pPr>
        <w:pStyle w:val="Heading2"/>
      </w:pPr>
      <w:r>
        <w:t xml:space="preserve">Entscheidungspunkte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c>
          <w:tcPr>
            <w:tcW w:type="dxa" w:w="2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Metrik</w:t>
            </w:r>
          </w:p>
        </w:tc>
        <w:tc>
          <w:tcPr>
            <w:tcW w:type="dxa" w:w="226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Schwelle</w:t>
            </w:r>
          </w:p>
        </w:tc>
        <w:tc>
          <w:tcPr>
            <w:tcW w:type="dxa" w:w="226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Aktion</w:t>
            </w:r>
          </w:p>
        </w:tc>
        <w:tc>
          <w:tcPr>
            <w:tcW w:type="dxa" w:w="2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Deadline</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 Sales kumuliert</w:t>
            </w:r>
          </w:p>
        </w:tc>
        <w:tc>
          <w:tcPr>
            <w:tcW w:type="dxa" w:w="226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&gt; €500K</w:t>
            </w:r>
          </w:p>
        </w:tc>
        <w:tc>
          <w:tcPr>
            <w:tcW w:type="dxa" w:w="226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CASP-Antrag starten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SOFORT — 4-6 Monate Bearbeitung</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 Sales Run-Rate</w:t>
            </w:r>
          </w:p>
        </w:tc>
        <w:tc>
          <w:tcPr>
            <w:tcW w:type="dxa" w:w="226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&gt; €80K/Monat</w:t>
            </w:r>
          </w:p>
        </w:tc>
        <w:tc>
          <w:tcPr>
            <w:tcW w:type="dxa" w:w="226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CASP beschleunigen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Muss vor €1M stehen</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Fantasy Paid Entry Demand</w:t>
            </w:r>
          </w:p>
        </w:tc>
        <w:tc>
          <w:tcPr>
            <w:tcW w:type="dxa" w:w="226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&gt; 5.000 aktive Fantasy-User</w:t>
            </w:r>
          </w:p>
        </w:tc>
        <w:tc>
          <w:tcPr>
            <w:tcW w:type="dxa" w:w="226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MGA-Lizenz evaluieren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Vorbereitung, noch kein Antrag</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Club Revenue</w:t>
            </w:r>
          </w:p>
        </w:tc>
        <w:tc>
          <w:tcPr>
            <w:tcW w:type="dxa" w:w="226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&gt; €30K/Monat recurring</w:t>
            </w:r>
          </w:p>
        </w:tc>
        <w:tc>
          <w:tcPr>
            <w:tcW w:type="dxa" w:w="226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CASP-Kapital (€125K) reservieren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Auf separatem Konto parken</w:t>
            </w:r>
          </w:p>
        </w:tc>
      </w:tr>
    </w:tbl>
    <w:p>
      <w:pPr>
        <w:spacing w:after="50"/>
      </w:pPr>
    </w:p>
    <w:p>
      <w:pPr>
        <w:spacing w:after="120"/>
      </w:pPr>
      <w:r>
        <w:rPr>
          <w:b/>
          <w:bCs/>
          <w:color w:val="C0392B"/>
        </w:rPr>
        <w:t xml:space="preserve">KRITISCH: </w:t>
      </w:r>
      <w:r>
        <w:t xml:space="preserve">Die €1M BSD-Grenze ist HART. Wenn du €950K erreicht hast und die CASP-Lizenz noch nicht steht, MUSST du BSD-Sales pausieren. Einbauen: Automatischer Kill-Switch bei €900K der neue BSD-Käufe stoppt und einen Countdown anzeigt. Legal: "BSD-Credits sind temporär ausverkauft. Neue Credits verfügbar nach regulatorischem Upgrade."</w:t>
      </w:r>
    </w:p>
    <w:p>
      <w:r>
        <w:br w:type="page"/>
      </w:r>
    </w:p>
    <w:p>
      <w:pPr>
        <w:pStyle w:val="Heading1"/>
      </w:pPr>
      <w:r>
        <w:t xml:space="preserve">Phase 3: CASP-Lizenz + Token Launch (Monat 11-14)</w:t>
      </w:r>
    </w:p>
    <w:p>
      <w:pPr>
        <w:spacing w:after="120"/>
      </w:pPr>
      <w:r>
        <w:rPr>
          <w:b/>
          <w:bCs/>
          <w:color w:val="E67E22"/>
        </w:rPr>
        <w:t xml:space="preserve">Trigger: </w:t>
      </w:r>
      <w:r>
        <w:t xml:space="preserve">BSD Sales nähern sich €1M ODER strategische Entscheidung für $SCOUT Launch</w:t>
      </w:r>
    </w:p>
    <w:p>
      <w:pPr>
        <w:pStyle w:val="Heading2"/>
      </w:pPr>
      <w:r>
        <w:t xml:space="preserve">CASP-Lizenz (MFSA Class 2)</w:t>
      </w:r>
    </w:p>
    <w:p>
      <w:pPr>
        <w:spacing w:after="120"/>
      </w:pPr>
      <w:r>
        <w:t xml:space="preserve">Die CASP-Lizenz ist der Schlüssel zum vollen Token-Ökosystem. Sie erlaubt: Emission von $SCOUT als Crypto-Asset, Exchange Listing, Custody, Fiat-to-Crypto Conversion, und EU-Passporting unter MiCA.</w:t>
      </w:r>
    </w:p>
    <w:p>
      <w:pPr>
        <w:pStyle w:val="Heading3"/>
      </w:pPr>
      <w:r>
        <w:t xml:space="preserve">Was die CASP-Lizenz freischaltet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Feature</w:t>
            </w:r>
          </w:p>
        </w:tc>
        <w:tc>
          <w:tcPr>
            <w:tcW w:type="dxa" w:w="30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Vorher (MiCA Exempt)</w:t>
            </w:r>
          </w:p>
        </w:tc>
        <w:tc>
          <w:tcPr>
            <w:tcW w:type="dxa" w:w="30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Nachher (CASP)</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BSD → $SCOUT Migration</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BSD = interner Credit</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1:1 Migration. $SCOUT = Crypto-Asset mit Marktwert</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Cash-Out</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Nicht möglich</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$SCOUT → EUR/USD Auszahlung</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Exchange Listing</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BSD nur intern</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$SCOUT auf DEX/CEX handelbar</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EU Passporting</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Nur Malta + Exemption</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Alle 27 EU-Staaten + EWR</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DPC Trading Value</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Credits ohne Realwert</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DPCs haben $SCOUT-Wert</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Pre-ICO / Token Sale</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Nicht möglich</w:t>
            </w:r>
          </w:p>
        </w:tc>
        <w:tc>
          <w:tcPr>
            <w:tcW w:type="dxa" w:w="3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MiCA-konformes Whitepaper, Token Sale</w:t>
            </w:r>
          </w:p>
        </w:tc>
      </w:tr>
    </w:tbl>
    <w:p>
      <w:pPr>
        <w:pStyle w:val="Heading3"/>
      </w:pPr>
      <w:r>
        <w:t xml:space="preserve">CASP-Kosten Breakdown</w:t>
      </w:r>
    </w:p>
    <w:p>
      <w:pPr>
        <w:pStyle w:val="ListParagraph"/>
        <w:numPr>
          <w:ilvl w:val="0"/>
          <w:numId w:val="2"/>
        </w:numPr>
        <w:spacing w:after="60"/>
      </w:pPr>
      <w:r>
        <w:rPr>
          <w:sz w:val="20"/>
          <w:szCs w:val="20"/>
        </w:rPr>
        <w:t xml:space="preserve">CASP Application (Legal): €30.000 — Anwaltskanzlei Malta, Application Package</w:t>
      </w:r>
    </w:p>
    <w:p>
      <w:pPr>
        <w:pStyle w:val="ListParagraph"/>
        <w:numPr>
          <w:ilvl w:val="0"/>
          <w:numId w:val="2"/>
        </w:numPr>
        <w:spacing w:after="60"/>
      </w:pPr>
      <w:r>
        <w:rPr>
          <w:sz w:val="20"/>
          <w:szCs w:val="20"/>
        </w:rPr>
        <w:t xml:space="preserve">Minimum Capital Requirement (Class 2): €125.000 — muss auf Firmenkonto liegen, darf operativ genutzt werden</w:t>
      </w:r>
    </w:p>
    <w:p>
      <w:pPr>
        <w:pStyle w:val="ListParagraph"/>
        <w:numPr>
          <w:ilvl w:val="0"/>
          <w:numId w:val="2"/>
        </w:numPr>
        <w:spacing w:after="60"/>
      </w:pPr>
      <w:r>
        <w:rPr>
          <w:sz w:val="20"/>
          <w:szCs w:val="20"/>
        </w:rPr>
        <w:t xml:space="preserve">MFSA Filing Fees: €10.000</w:t>
      </w:r>
    </w:p>
    <w:p>
      <w:pPr>
        <w:pStyle w:val="ListParagraph"/>
        <w:numPr>
          <w:ilvl w:val="0"/>
          <w:numId w:val="2"/>
        </w:numPr>
        <w:spacing w:after="60"/>
      </w:pPr>
      <w:r>
        <w:rPr>
          <w:sz w:val="20"/>
          <w:szCs w:val="20"/>
        </w:rPr>
        <w:t xml:space="preserve">IT Security Audit (MiCA Pflicht): €8.000</w:t>
      </w:r>
    </w:p>
    <w:p>
      <w:pPr>
        <w:pStyle w:val="ListParagraph"/>
        <w:numPr>
          <w:ilvl w:val="0"/>
          <w:numId w:val="2"/>
        </w:numPr>
        <w:spacing w:after="60"/>
      </w:pPr>
      <w:r>
        <w:rPr>
          <w:sz w:val="20"/>
          <w:szCs w:val="20"/>
        </w:rPr>
        <w:t xml:space="preserve">Compliance Officer Recruitment: €5.000</w:t>
      </w:r>
    </w:p>
    <w:p>
      <w:pPr>
        <w:pStyle w:val="ListParagraph"/>
        <w:numPr>
          <w:ilvl w:val="0"/>
          <w:numId w:val="2"/>
        </w:numPr>
        <w:spacing w:after="60"/>
      </w:pPr>
      <w:r>
        <w:rPr>
          <w:sz w:val="20"/>
          <w:szCs w:val="20"/>
        </w:rPr>
        <w:t xml:space="preserve">Business Continuity Plan: €3.000</w:t>
      </w:r>
    </w:p>
    <w:p>
      <w:pPr>
        <w:pStyle w:val="ListParagraph"/>
        <w:numPr>
          <w:ilvl w:val="0"/>
          <w:numId w:val="2"/>
        </w:numPr>
        <w:spacing w:after="60"/>
      </w:pPr>
      <w:r>
        <w:rPr>
          <w:b/>
          <w:bCs/>
          <w:sz w:val="20"/>
          <w:szCs w:val="20"/>
        </w:rPr>
        <w:t xml:space="preserve">Gesamt: €181.000 </w:t>
      </w:r>
      <w:r>
        <w:rPr>
          <w:sz w:val="20"/>
          <w:szCs w:val="20"/>
        </w:rPr>
        <w:t xml:space="preserve">— finanziert aus Club Revenue + BSD Sales</w:t>
      </w:r>
    </w:p>
    <w:p>
      <w:pPr>
        <w:pStyle w:val="Heading3"/>
      </w:pPr>
      <w:r>
        <w:t xml:space="preserve">Zeitplan CASP</w:t>
      </w:r>
    </w:p>
    <w:p>
      <w:pPr>
        <w:spacing w:after="120"/>
      </w:pPr>
      <w:r>
        <w:t xml:space="preserve">CASP-Antrag starten wenn BSD-Sales €500K überschreiten. Bearbeitungsdauer MFSA: 4-6 Monate. Das gibt dir Puffer bis zur €1M-Grenze. Parallelisierung: Während CASP läuft, Whitepaper schreiben, Smart Contract auditen, Token Economics finalisieren.</w:t>
      </w:r>
    </w:p>
    <w:p>
      <w:r>
        <w:br w:type="page"/>
      </w:r>
    </w:p>
    <w:p>
      <w:pPr>
        <w:pStyle w:val="Heading1"/>
      </w:pPr>
      <w:r>
        <w:t xml:space="preserve">Phase 3b: MGA Gaming-Lizenz (Monat 12-16)</w:t>
      </w:r>
    </w:p>
    <w:p>
      <w:pPr>
        <w:spacing w:after="120"/>
      </w:pPr>
      <w:r>
        <w:rPr>
          <w:b/>
          <w:bCs/>
          <w:color w:val="E67E22"/>
        </w:rPr>
        <w:t xml:space="preserve">Trigger: </w:t>
      </w:r>
      <w:r>
        <w:t xml:space="preserve">$SCOUT ist live UND Fantasy mit echtem Wert soll freigeschaltet werden</w:t>
      </w:r>
    </w:p>
    <w:p>
      <w:pPr>
        <w:pStyle w:val="Heading2"/>
      </w:pPr>
      <w:r>
        <w:t xml:space="preserve">Warum jetzt erst Gaming?</w:t>
      </w:r>
    </w:p>
    <w:p>
      <w:pPr>
        <w:spacing w:after="120"/>
      </w:pPr>
      <w:r>
        <w:t xml:space="preserve">Solange BSD ein geschlossenes Credit-System ist (Phase 1-2), braucht BeScout keine Gaming-Lizenz. Fantasy mit Credits ist wie ein Mobile Game — kein reguliertes Glücksspiel. ABER: Sobald BSD zu $SCOUT wird und $SCOUT einen Marktwert hat, ändert sich die Klassifizierung:</w:t>
      </w:r>
    </w:p>
    <w:p>
      <w:pPr>
        <w:pStyle w:val="ListParagraph"/>
        <w:numPr>
          <w:ilvl w:val="0"/>
          <w:numId w:val="2"/>
        </w:numPr>
        <w:spacing w:after="60"/>
      </w:pPr>
      <w:r>
        <w:rPr>
          <w:b/>
          <w:bCs/>
          <w:sz w:val="20"/>
          <w:szCs w:val="20"/>
        </w:rPr>
        <w:t xml:space="preserve">Fantasy Paid Entry mit $SCOUT = Glücksspiel </w:t>
      </w:r>
      <w:r>
        <w:rPr>
          <w:sz w:val="20"/>
          <w:szCs w:val="20"/>
        </w:rPr>
        <w:t xml:space="preserve">— User riskieren einen Vermögenswert</w:t>
      </w:r>
    </w:p>
    <w:p>
      <w:pPr>
        <w:pStyle w:val="ListParagraph"/>
        <w:numPr>
          <w:ilvl w:val="0"/>
          <w:numId w:val="2"/>
        </w:numPr>
        <w:spacing w:after="60"/>
      </w:pPr>
      <w:r>
        <w:rPr>
          <w:b/>
          <w:bCs/>
          <w:sz w:val="20"/>
          <w:szCs w:val="20"/>
        </w:rPr>
        <w:t xml:space="preserve">DPC Trading mit $SCOUT = möglicherweise Betting </w:t>
      </w:r>
      <w:r>
        <w:rPr>
          <w:sz w:val="20"/>
          <w:szCs w:val="20"/>
        </w:rPr>
        <w:t xml:space="preserve">— Preisschwankung basiert auf Sportresultaten</w:t>
      </w:r>
    </w:p>
    <w:p>
      <w:pPr>
        <w:pStyle w:val="ListParagraph"/>
        <w:numPr>
          <w:ilvl w:val="0"/>
          <w:numId w:val="2"/>
        </w:numPr>
        <w:spacing w:after="60"/>
      </w:pPr>
      <w:r>
        <w:rPr>
          <w:b/>
          <w:bCs/>
          <w:sz w:val="20"/>
          <w:szCs w:val="20"/>
        </w:rPr>
        <w:t xml:space="preserve">Turniere mit $SCOUT-Preisen = Prize Competition </w:t>
      </w:r>
      <w:r>
        <w:rPr>
          <w:sz w:val="20"/>
          <w:szCs w:val="20"/>
        </w:rPr>
        <w:t xml:space="preserve">— reguliert in den meisten EU-Ländern</w:t>
      </w:r>
    </w:p>
    <w:p>
      <w:pPr>
        <w:pStyle w:val="Heading2"/>
      </w:pPr>
      <w:r>
        <w:t xml:space="preserve">MGA Lizenz: Optionen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c>
          <w:tcPr>
            <w:tcW w:type="dxa" w:w="2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Lizenztyp</w:t>
            </w:r>
          </w:p>
        </w:tc>
        <w:tc>
          <w:tcPr>
            <w:tcW w:type="dxa" w:w="2275"/>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B2C Gaming</w:t>
            </w:r>
          </w:p>
        </w:tc>
        <w:tc>
          <w:tcPr>
            <w:tcW w:type="dxa" w:w="2275"/>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B2B Gaming</w:t>
            </w:r>
          </w:p>
        </w:tc>
        <w:tc>
          <w:tcPr>
            <w:tcW w:type="dxa" w:w="2276"/>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Sorare-Modell</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Was</w:t>
            </w:r>
          </w:p>
        </w:tc>
        <w:tc>
          <w:tcPr>
            <w:tcW w:type="dxa" w:w="22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BeScout betreibt selbst Gaming</w:t>
            </w:r>
          </w:p>
        </w:tc>
        <w:tc>
          <w:tcPr>
            <w:tcW w:type="dxa" w:w="22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BeScout liefert Technologie, Partner betreibt</w:t>
            </w:r>
          </w:p>
        </w:tc>
        <w:tc>
          <w:tcPr>
            <w:tcW w:type="dxa" w:w="227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"Collectibles" statt Gambling</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Kosten</w:t>
            </w:r>
          </w:p>
        </w:tc>
        <w:tc>
          <w:tcPr>
            <w:tcW w:type="dxa" w:w="22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€25K Setup + €25K/Jahr + Player Protection Fund</w:t>
            </w:r>
          </w:p>
        </w:tc>
        <w:tc>
          <w:tcPr>
            <w:tcW w:type="dxa" w:w="22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€15K Setup + €15K/Jahr</w:t>
            </w:r>
          </w:p>
        </w:tc>
        <w:tc>
          <w:tcPr>
            <w:tcW w:type="dxa" w:w="227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 (aber Legal Risk)</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Vorteile</w:t>
            </w:r>
          </w:p>
        </w:tc>
        <w:tc>
          <w:tcPr>
            <w:tcW w:type="dxa" w:w="22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Volle Kontrolle, EU-Passporting für Gaming</w:t>
            </w:r>
          </w:p>
        </w:tc>
        <w:tc>
          <w:tcPr>
            <w:tcW w:type="dxa" w:w="22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Günstiger, weniger Compliance-Aufwand</w:t>
            </w:r>
          </w:p>
        </w:tc>
        <w:tc>
          <w:tcPr>
            <w:tcW w:type="dxa" w:w="227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Keine Lizenz nötig, günstiger</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Nachteile</w:t>
            </w:r>
          </w:p>
        </w:tc>
        <w:tc>
          <w:tcPr>
            <w:tcW w:type="dxa" w:w="22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Teurer, mehr Compliance, Player Protection</w:t>
            </w:r>
          </w:p>
        </w:tc>
        <w:tc>
          <w:tcPr>
            <w:tcW w:type="dxa" w:w="22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Abhängig vom Partner, weniger Marge</w:t>
            </w:r>
          </w:p>
        </w:tc>
        <w:tc>
          <w:tcPr>
            <w:tcW w:type="dxa" w:w="227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Regulatorisches Risiko, FR hat Sorare verklagt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Empfehlung</w:t>
            </w:r>
          </w:p>
        </w:tc>
        <w:tc>
          <w:tcPr>
            <w:tcW w:type="dxa" w:w="2275"/>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BEST FIT ab 50K+ MAU</w:t>
            </w:r>
          </w:p>
        </w:tc>
        <w:tc>
          <w:tcPr>
            <w:tcW w:type="dxa" w:w="22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Alternative wenn Budget knapp</w:t>
            </w:r>
          </w:p>
        </w:tc>
        <w:tc>
          <w:tcPr>
            <w:tcW w:type="dxa" w:w="2276"/>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Zu riskant langfristig</w:t>
            </w:r>
          </w:p>
        </w:tc>
      </w:tr>
    </w:tbl>
    <w:p>
      <w:pPr>
        <w:spacing w:after="50"/>
      </w:pPr>
    </w:p>
    <w:p>
      <w:pPr>
        <w:spacing w:after="120"/>
      </w:pPr>
      <w:r>
        <w:rPr>
          <w:b/>
          <w:bCs/>
          <w:color w:val="1B4F72"/>
        </w:rPr>
        <w:t xml:space="preserve">Empfehlung: </w:t>
      </w:r>
      <w:r>
        <w:t xml:space="preserve">B2C Gaming Lizenz beantragen sobald CASP steht und $SCOUT live ist. Die CASP-Compliance (AML, KYC, Responsible Use) überlappt zu ~60% mit MGA-Requirements. Dein Compliance Officer deckt beides ab. Anwaltskosten reduziert weil dieselbe Kanzlei beide Anträge parallel betreut.</w:t>
      </w:r>
    </w:p>
    <w:p>
      <w:r>
        <w:br w:type="page"/>
      </w:r>
    </w:p>
    <w:p>
      <w:pPr>
        <w:pStyle w:val="Heading1"/>
      </w:pPr>
      <w:r>
        <w:t xml:space="preserve">Phase 4: Full Stack (Monat 14+)</w:t>
      </w:r>
    </w:p>
    <w:p>
      <w:pPr>
        <w:spacing w:after="120"/>
      </w:pPr>
      <w:r>
        <w:rPr>
          <w:b/>
          <w:bCs/>
          <w:color w:val="1E8449"/>
        </w:rPr>
        <w:t xml:space="preserve">Status: </w:t>
      </w:r>
      <w:r>
        <w:t xml:space="preserve">CASP-Lizenz erteilt. MGA-Antrag läuft oder erteilt. $SCOUT live. Volles Programm.</w:t>
      </w:r>
    </w:p>
    <w:p>
      <w:pPr>
        <w:pStyle w:val="Heading2"/>
      </w:pPr>
      <w:r>
        <w:t xml:space="preserve">Vollständige Feature-Matrix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500"/>
        <w:gridCol w:w="1500"/>
        <w:gridCol w:w="1826"/>
      </w:tblGrid>
      <w:tr>
        <w:tc>
          <w:tcPr>
            <w:tcW w:type="dxa" w:w="2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Feature</w:t>
            </w:r>
          </w:p>
        </w:tc>
        <w:tc>
          <w:tcPr>
            <w:tcW w:type="dxa" w:w="1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Türkei</w:t>
            </w:r>
          </w:p>
        </w:tc>
        <w:tc>
          <w:tcPr>
            <w:tcW w:type="dxa" w:w="1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DE/FR/AT</w:t>
            </w:r>
          </w:p>
        </w:tc>
        <w:tc>
          <w:tcPr>
            <w:tcW w:type="dxa" w:w="1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Rest EU</w:t>
            </w:r>
          </w:p>
        </w:tc>
        <w:tc>
          <w:tcPr>
            <w:tcW w:type="dxa" w:w="1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UK</w:t>
            </w:r>
          </w:p>
        </w:tc>
        <w:tc>
          <w:tcPr>
            <w:tcW w:type="dxa" w:w="1826"/>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Global</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DPC Browse</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8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DPC Trading ($SCOUT)</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CASP</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CASP</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8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Free Fantasy</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8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Paid Fantasy ($SCOUT)</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MGA</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MGA</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UKGC</w:t>
            </w:r>
          </w:p>
        </w:tc>
        <w:tc>
          <w:tcPr>
            <w:tcW w:type="dxa" w:w="18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Tournaments (Prizes)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MGA</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MGA</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UKGC</w:t>
            </w:r>
          </w:p>
        </w:tc>
        <w:tc>
          <w:tcPr>
            <w:tcW w:type="dxa" w:w="18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$SCOUT Cash-Out</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CASP</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CASP</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8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Votes / Polls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8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Fan Pass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8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bl>
    <w:p>
      <w:pPr>
        <w:spacing w:after="50"/>
      </w:pPr>
    </w:p>
    <w:p>
      <w:pPr>
        <w:spacing w:after="120"/>
      </w:pPr>
      <w:r>
        <w:rPr>
          <w:b/>
          <w:bCs/>
        </w:rPr>
        <w:t xml:space="preserve">* Türkei: </w:t>
      </w:r>
      <w:r>
        <w:t xml:space="preserve">Alle Features mit echtem Geld/Crypto-Wert sind in der Türkei PERMANENT gesperrt. Türkisches Recht verbietet private Sportwetten und Online-Gambling komplett. User erhalten die "Free Variante": Free Fantasy, DPC Browse, Votes, Club Content. Paid Features werden als "Coming Soon" oder "Nicht verfügbar in deiner Region" angezeigt. VPN-Nutzung ist Sache des Users — du blockst nach IP, deine Pflicht ist erfüllt.</w:t>
      </w:r>
    </w:p>
    <w:p>
      <w:r>
        <w:br w:type="page"/>
      </w:r>
    </w:p>
    <w:p>
      <w:pPr>
        <w:pStyle w:val="Heading1"/>
      </w:pPr>
      <w:r>
        <w:t xml:space="preserve">Geofencing: Technische Implementierung</w:t>
      </w:r>
    </w:p>
    <w:p>
      <w:pPr>
        <w:pStyle w:val="Heading2"/>
      </w:pPr>
      <w:r>
        <w:t xml:space="preserve">3-Stufen-System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Stufe</w:t>
            </w:r>
          </w:p>
        </w:tc>
        <w:tc>
          <w:tcPr>
            <w:tcW w:type="dxa" w:w="2342"/>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Methode</w:t>
            </w:r>
          </w:p>
        </w:tc>
        <w:tc>
          <w:tcPr>
            <w:tcW w:type="dxa" w:w="2342"/>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Wann</w:t>
            </w:r>
          </w:p>
        </w:tc>
        <w:tc>
          <w:tcPr>
            <w:tcW w:type="dxa" w:w="2342"/>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Genauigkeit</w:t>
            </w:r>
          </w:p>
        </w:tc>
      </w:tr>
      <w:tr>
        <w:tc>
          <w:tcPr>
            <w:tcW w:type="dxa" w:w="20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 IP-Check</w:t>
            </w:r>
          </w:p>
        </w:tc>
        <w:tc>
          <w:tcPr>
            <w:tcW w:type="dxa" w:w="234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GeoIP Lookup bei Signup + Session Start. MaxMind GeoIP2 oder ip-api.com</w:t>
            </w:r>
          </w:p>
        </w:tc>
        <w:tc>
          <w:tcPr>
            <w:tcW w:type="dxa" w:w="234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Jeder Request. Cached per Session.</w:t>
            </w:r>
          </w:p>
        </w:tc>
        <w:tc>
          <w:tcPr>
            <w:tcW w:type="dxa" w:w="234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~95% Genauigkeit. Blockt 95% der User aus restricted Regions.</w:t>
            </w:r>
          </w:p>
        </w:tc>
      </w:tr>
      <w:tr>
        <w:tc>
          <w:tcPr>
            <w:tcW w:type="dxa" w:w="20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 KYC-Check</w:t>
            </w:r>
          </w:p>
        </w:tc>
        <w:tc>
          <w:tcPr>
            <w:tcW w:type="dxa" w:w="234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Personalausweis/Reisepass bei Verifizierung. Land aus Dokument = verbindlich.</w:t>
            </w:r>
          </w:p>
        </w:tc>
        <w:tc>
          <w:tcPr>
            <w:tcW w:type="dxa" w:w="234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Bei erstem BSD-Kauf oder Paid Feature Nutzung</w:t>
            </w:r>
          </w:p>
        </w:tc>
        <w:tc>
          <w:tcPr>
            <w:tcW w:type="dxa" w:w="234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100% Genauigkeit für verifizierte User</w:t>
            </w:r>
          </w:p>
        </w:tc>
      </w:tr>
      <w:tr>
        <w:tc>
          <w:tcPr>
            <w:tcW w:type="dxa" w:w="20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3. Payment-Check</w:t>
            </w:r>
          </w:p>
        </w:tc>
        <w:tc>
          <w:tcPr>
            <w:tcW w:type="dxa" w:w="234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Zahlungsmethode = Herkunftsland. Türkische Kreditkarte → TR-Restrictions.</w:t>
            </w:r>
          </w:p>
        </w:tc>
        <w:tc>
          <w:tcPr>
            <w:tcW w:type="dxa" w:w="234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Bei jeder Transaktion</w:t>
            </w:r>
          </w:p>
        </w:tc>
        <w:tc>
          <w:tcPr>
            <w:tcW w:type="dxa" w:w="234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Zusätzliche Sicherheitsebene</w:t>
            </w:r>
          </w:p>
        </w:tc>
      </w:tr>
    </w:tbl>
    <w:p>
      <w:pPr>
        <w:pStyle w:val="Heading2"/>
      </w:pPr>
      <w:r>
        <w:t xml:space="preserve">Feature Flags per Region</w:t>
      </w:r>
    </w:p>
    <w:p>
      <w:pPr>
        <w:spacing w:after="120"/>
      </w:pPr>
      <w:r>
        <w:t xml:space="preserve">Implementierung über Supabase Row-Level Security + Feature Flags. Jeder User hat ein "region_tier" Attribut:</w:t>
      </w:r>
    </w:p>
    <w:p>
      <w:pPr>
        <w:pStyle w:val="ListParagraph"/>
        <w:numPr>
          <w:ilvl w:val="0"/>
          <w:numId w:val="2"/>
        </w:numPr>
        <w:spacing w:after="60"/>
      </w:pPr>
      <w:r>
        <w:rPr>
          <w:b/>
          <w:bCs/>
          <w:sz w:val="20"/>
          <w:szCs w:val="20"/>
        </w:rPr>
        <w:t xml:space="preserve">TIER_FULL: </w:t>
      </w:r>
      <w:r>
        <w:rPr>
          <w:sz w:val="20"/>
          <w:szCs w:val="20"/>
        </w:rPr>
        <w:t xml:space="preserve">Rest EU (mit MGA) — alle Features</w:t>
      </w:r>
    </w:p>
    <w:p>
      <w:pPr>
        <w:pStyle w:val="ListParagraph"/>
        <w:numPr>
          <w:ilvl w:val="0"/>
          <w:numId w:val="2"/>
        </w:numPr>
        <w:spacing w:after="60"/>
      </w:pPr>
      <w:r>
        <w:rPr>
          <w:b/>
          <w:bCs/>
          <w:sz w:val="20"/>
          <w:szCs w:val="20"/>
        </w:rPr>
        <w:t xml:space="preserve">TIER_CASP: </w:t>
      </w:r>
      <w:r>
        <w:rPr>
          <w:sz w:val="20"/>
          <w:szCs w:val="20"/>
        </w:rPr>
        <w:t xml:space="preserve">EU (ohne Gaming-Lizenz) — DPC Trading, $SCOUT, kein Paid Fantasy</w:t>
      </w:r>
    </w:p>
    <w:p>
      <w:pPr>
        <w:pStyle w:val="ListParagraph"/>
        <w:numPr>
          <w:ilvl w:val="0"/>
          <w:numId w:val="2"/>
        </w:numPr>
        <w:spacing w:after="60"/>
      </w:pPr>
      <w:r>
        <w:rPr>
          <w:b/>
          <w:bCs/>
          <w:sz w:val="20"/>
          <w:szCs w:val="20"/>
        </w:rPr>
        <w:t xml:space="preserve">TIER_FREE: </w:t>
      </w:r>
      <w:r>
        <w:rPr>
          <w:sz w:val="20"/>
          <w:szCs w:val="20"/>
        </w:rPr>
        <w:t xml:space="preserve">DE, FR, AT, UK — Free Fantasy, kein Paid Entry, kein Cash-Out</w:t>
      </w:r>
    </w:p>
    <w:p>
      <w:pPr>
        <w:pStyle w:val="ListParagraph"/>
        <w:numPr>
          <w:ilvl w:val="0"/>
          <w:numId w:val="2"/>
        </w:numPr>
        <w:spacing w:after="60"/>
      </w:pPr>
      <w:r>
        <w:rPr>
          <w:b/>
          <w:bCs/>
          <w:sz w:val="20"/>
          <w:szCs w:val="20"/>
        </w:rPr>
        <w:t xml:space="preserve">TIER_RESTRICTED: </w:t>
      </w:r>
      <w:r>
        <w:rPr>
          <w:sz w:val="20"/>
          <w:szCs w:val="20"/>
        </w:rPr>
        <w:t xml:space="preserve">Türkei — Nur Content, Free Fantasy, Votes. Kein Trading, kein $SCOUT, kein Cash</w:t>
      </w:r>
    </w:p>
    <w:p>
      <w:pPr>
        <w:pStyle w:val="ListParagraph"/>
        <w:numPr>
          <w:ilvl w:val="0"/>
          <w:numId w:val="2"/>
        </w:numPr>
        <w:spacing w:after="60"/>
      </w:pPr>
      <w:r>
        <w:rPr>
          <w:b/>
          <w:bCs/>
          <w:sz w:val="20"/>
          <w:szCs w:val="20"/>
        </w:rPr>
        <w:t xml:space="preserve">TIER_BLOCKED: </w:t>
      </w:r>
      <w:r>
        <w:rPr>
          <w:sz w:val="20"/>
          <w:szCs w:val="20"/>
        </w:rPr>
        <w:t xml:space="preserve">USA, China, OFAC-Länder — Kein Zugang</w:t>
      </w:r>
    </w:p>
    <w:p>
      <w:pPr>
        <w:pStyle w:val="Heading2"/>
      </w:pPr>
      <w:r>
        <w:t xml:space="preserve">Free Variante: Was sehen eingeschränkte User?</w:t>
      </w:r>
    </w:p>
    <w:p>
      <w:pPr>
        <w:spacing w:after="120"/>
      </w:pPr>
      <w:r>
        <w:t xml:space="preserve">Der Schlüssel: Eingeschränkte User sollen NICHT das Gefühl haben, eine kastrierte Version zu nutzen. Die Free Variante muss eigenständig attraktiv sein: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Paid Feature</w:t>
            </w:r>
          </w:p>
        </w:tc>
        <w:tc>
          <w:tcPr>
            <w:tcW w:type="dxa" w:w="34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Free Variante</w:t>
            </w:r>
          </w:p>
        </w:tc>
        <w:tc>
          <w:tcPr>
            <w:tcW w:type="dxa" w:w="34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UX-Handling</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DPC Trading mit $SCOUT</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Virtuelles Portfolio: User bauen "Watchlist" und tracken Performance. Leaderboard zeigt wer am besten "scouted".</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"Scout Assessment" statt "Trading". Gleiche Mechanik, ohne echten Wert.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Paid Fantasy Entry</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Free Fantasy Leagues mit BSD-Credit-Preisen (ohne Cash-Value). Wettbewerb bleibt, Einsatz fällt weg.</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"Community League" statt "Prize League". Badges + Reputation statt Cash.</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$SCOUT Cash-Out</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BSD-Credits bleiben im System. Werden für Premium Features, exclusive Content, etc. genutzt.</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"Deine Credits schalten exklusive Inhalte frei" statt "Tausche gegen Geld".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Turniere mit Preisen</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Turniere mit Badges, Titel, und "Scouting Reputation". Leaderboard + Social Status.</w:t>
            </w:r>
          </w:p>
        </w:tc>
        <w:tc>
          <w:tcPr>
            <w:tcW w:type="dxa" w:w="34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"Champion Scout" Titel. Sichtbar im Profil. Social Proof.</w:t>
            </w:r>
          </w:p>
        </w:tc>
      </w:tr>
    </w:tbl>
    <w:p>
      <w:r>
        <w:br w:type="page"/>
      </w:r>
    </w:p>
    <w:p>
      <w:pPr>
        <w:pStyle w:val="Heading1"/>
      </w:pPr>
      <w:r>
        <w:t xml:space="preserve">Lizenzkosten: Zeitliche Verteilung</w:t>
      </w:r>
    </w:p>
    <w:p>
      <w:pPr>
        <w:spacing w:after="120"/>
      </w:pPr>
      <w:r>
        <w:t xml:space="preserve">Alle Lizenzkosten werden aus laufendem Revenue finanziert. Kein Upfront-Investment für Lizenzen nötig — außer dem initialen Company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500"/>
        <w:gridCol w:w="1800"/>
        <w:gridCol w:w="2526"/>
      </w:tblGrid>
      <w:tr>
        <w:tc>
          <w:tcPr>
            <w:tcW w:type="dxa" w:w="1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Zeitraum</w:t>
            </w:r>
          </w:p>
        </w:tc>
        <w:tc>
          <w:tcPr>
            <w:tcW w:type="dxa" w:w="18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Lizenz/Compliance</w:t>
            </w:r>
          </w:p>
        </w:tc>
        <w:tc>
          <w:tcPr>
            <w:tcW w:type="dxa" w:w="1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Kosten</w:t>
            </w:r>
          </w:p>
        </w:tc>
        <w:tc>
          <w:tcPr>
            <w:tcW w:type="dxa" w:w="18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Finanziert aus</w:t>
            </w:r>
          </w:p>
        </w:tc>
        <w:tc>
          <w:tcPr>
            <w:tcW w:type="dxa" w:w="2526"/>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Kumuliert</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M1-3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Malta Ltd. + Legal Setup</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€22.400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Eigenkapital</w:t>
            </w:r>
          </w:p>
        </w:tc>
        <w:tc>
          <w:tcPr>
            <w:tcW w:type="dxa" w:w="2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€22.400</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M4-7</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KVKK + laufende Compliance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€3.500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Club Revenue</w:t>
            </w:r>
          </w:p>
        </w:tc>
        <w:tc>
          <w:tcPr>
            <w:tcW w:type="dxa" w:w="2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€25.900</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M8-10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CASP Vorbereitung (Legal)</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€30.000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Club Revenue + BSD Sales</w:t>
            </w:r>
          </w:p>
        </w:tc>
        <w:tc>
          <w:tcPr>
            <w:tcW w:type="dxa" w:w="2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€55.900</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M11-12</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CASP Filing + Kapital</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€151.000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Revenue + Angel/Preseed</w:t>
            </w:r>
          </w:p>
        </w:tc>
        <w:tc>
          <w:tcPr>
            <w:tcW w:type="dxa" w:w="2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€206.900</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M12-14</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Pre-ICO + Whitepaper</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€40.500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Revenue</w:t>
            </w:r>
          </w:p>
        </w:tc>
        <w:tc>
          <w:tcPr>
            <w:tcW w:type="dxa" w:w="2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€247.400</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M14-16</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MGA Gaming B2C</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€50.000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Revenue + Token Sale</w:t>
            </w:r>
          </w:p>
        </w:tc>
        <w:tc>
          <w:tcPr>
            <w:tcW w:type="dxa" w:w="2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€297.400</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M16+</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E-Money Partnership</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€15.000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Revenue</w:t>
            </w:r>
          </w:p>
        </w:tc>
        <w:tc>
          <w:tcPr>
            <w:tcW w:type="dxa" w:w="2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€312.400</w:t>
            </w:r>
          </w:p>
        </w:tc>
      </w:tr>
      <w:tr>
        <w:tc>
          <w:tcPr>
            <w:tcW w:type="dxa" w:w="1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w:t>
            </w:r>
          </w:p>
        </w:tc>
        <w:tc>
          <w:tcPr>
            <w:tcW w:type="dxa" w:w="18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Alle Lizenzen</w:t>
            </w:r>
          </w:p>
        </w:tc>
        <w:tc>
          <w:tcPr>
            <w:tcW w:type="dxa" w:w="15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€312.400</w:t>
            </w:r>
          </w:p>
        </w:tc>
        <w:tc>
          <w:tcPr>
            <w:tcW w:type="dxa" w:w="18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c>
          <w:tcPr>
            <w:tcW w:type="dxa" w:w="2526"/>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Davon Eigenkapital: ~€25K
Davon Revenue-finanziert: ~€287K</w:t>
            </w:r>
          </w:p>
        </w:tc>
      </w:tr>
    </w:tbl>
    <w:p>
      <w:pPr>
        <w:spacing w:after="100"/>
      </w:pPr>
    </w:p>
    <w:p>
      <w:pPr>
        <w:pStyle w:val="Heading2"/>
      </w:pPr>
      <w:r>
        <w:t xml:space="preserve">Laufende jährliche Lizenzkosten (ab Jahr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Lizenz</w:t>
            </w:r>
          </w:p>
        </w:tc>
        <w:tc>
          <w:tcPr>
            <w:tcW w:type="dxa" w:w="20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Jährlich</w:t>
            </w:r>
          </w:p>
        </w:tc>
        <w:tc>
          <w:tcPr>
            <w:tcW w:type="dxa" w:w="20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Monatlich</w:t>
            </w:r>
          </w:p>
        </w:tc>
        <w:tc>
          <w:tcPr>
            <w:tcW w:type="dxa" w:w="2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Kategorie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Malta Ltd. (Admin + Accounting + Secretary)</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€6.000</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€500</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Fixed</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CASP Compliance (Officer + Audit + MFSA Fee)</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€30.000</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€2.500</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Fixed</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MGA Gaming (License Fee + Player Protection)</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€35.000</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€2.900</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Fixed + % of GGR</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Legal Retainer (Anwaltskanzlei Malta)</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€12.000</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€1.000</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Fixed</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KVKK Türkei (jährliche Registrierung)</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€500</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€42</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Fixed</w:t>
            </w:r>
          </w:p>
        </w:tc>
      </w:tr>
      <w:tr>
        <w:tc>
          <w:tcPr>
            <w:tcW w:type="dxa" w:w="30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 laufend/Jahr</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€83.500</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~€7.000/mo</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bl>
    <w:p>
      <w:pPr>
        <w:spacing w:after="50"/>
      </w:pPr>
    </w:p>
    <w:p>
      <w:pPr>
        <w:spacing w:after="120"/>
      </w:pPr>
      <w:r>
        <w:rPr>
          <w:b/>
          <w:bCs/>
        </w:rPr>
        <w:t xml:space="preserve">Break-Even für Lizenzkosten: </w:t>
      </w:r>
      <w:r>
        <w:t xml:space="preserve">Bei €7.000/mo laufenden Lizenzkosten brauchst du ~5 Clubs auf Pro-Paket (€7.500/mo) oder ~10 Clubs auf Basis-Paket um allein die Lizenzkosten zu decken. Ab 20 Clubs + BSD Sales + Trading Fees sind die Lizenzkosten unter 15% des Revenue.</w:t>
      </w:r>
    </w:p>
    <w:p>
      <w:r>
        <w:br w:type="page"/>
      </w:r>
    </w:p>
    <w:p>
      <w:pPr>
        <w:pStyle w:val="Heading1"/>
      </w:pPr>
      <w:r>
        <w:t xml:space="preserve">Risiko-Matrix: Was passiert wenn...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13"/>
        <w:gridCol w:w="2013"/>
      </w:tblGrid>
      <w:tr>
        <w:tc>
          <w:tcPr>
            <w:tcW w:type="dxa" w:w="2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Szenario</w:t>
            </w:r>
          </w:p>
        </w:tc>
        <w:tc>
          <w:tcPr>
            <w:tcW w:type="dxa" w:w="2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Risiko</w:t>
            </w:r>
          </w:p>
        </w:tc>
        <w:tc>
          <w:tcPr>
            <w:tcW w:type="dxa" w:w="20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Mitigation</w:t>
            </w:r>
          </w:p>
        </w:tc>
        <w:tc>
          <w:tcPr>
            <w:tcW w:type="dxa" w:w="2013"/>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Impact</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€1M BSD-Grenze erreicht bevor CASP steht</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BSD-Sales müssen gestoppt werden. Revenue-Einbruch.</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Kill-Switch bei €900K. CASP-Antrag ab €500K starten. 4-6 Monate Puffer einplanen.</w:t>
            </w:r>
          </w:p>
        </w:tc>
        <w:tc>
          <w:tcPr>
            <w:tcW w:type="dxa" w:w="2013"/>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HOCH</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Türkische Behörden stufen BeScout als Gambling ein</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Domain-Sperre in Türkei. MASAK-Ermittlung gegen Zahlungsflüsse.</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Geofencing konsequent. Keine türkischen Zahlungsmittel für Paid Features. Free Variante sauber. Kein Marketing in TR für Paid Features.</w:t>
            </w:r>
          </w:p>
        </w:tc>
        <w:tc>
          <w:tcPr>
            <w:tcW w:type="dxa" w:w="2013"/>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MITTEL</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EU-Land stuft Fantasy mit Credits als Gambling ein</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Regulatorische Nachfrage. Potenzielle Bußgelder.</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MGA-Lizenz als Backup. Wenn Land nachfragt: Sofort Paid Fantasy in dem Land deaktivieren, Free Variante aktivieren.</w:t>
            </w:r>
          </w:p>
        </w:tc>
        <w:tc>
          <w:tcPr>
            <w:tcW w:type="dxa" w:w="2013"/>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MITTEL</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MFSA lehnt CASP-Antrag ab</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Kein $SCOUT Launch. BSD bleibt internes Credit-System.</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BSD-Modell funktioniert auch ohne CASP. Plan B: Weiter als Credit-System. Re-Apply nach Nachbesserung.</w:t>
            </w:r>
          </w:p>
        </w:tc>
        <w:tc>
          <w:tcPr>
            <w:tcW w:type="dxa" w:w="2013"/>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NIEDRIG</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Sorare-Präzedenzfall: NFT/Token = Gambling</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DPC-Trading könnte als reguliertes Glücksspiel klassifiziert werden EU-weit.</w:t>
            </w:r>
          </w:p>
        </w:tc>
        <w:tc>
          <w:tcPr>
            <w:tcW w:type="dxa" w:w="201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MGA-Lizenz als Absicherung. DPC-Modell so bauen, dass es auch unter Gaming-Regulierung funktioniert.</w:t>
            </w:r>
          </w:p>
        </w:tc>
        <w:tc>
          <w:tcPr>
            <w:tcW w:type="dxa" w:w="2013"/>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MITTEL</w:t>
            </w:r>
          </w:p>
        </w:tc>
      </w:tr>
    </w:tbl>
    <w:p>
      <w:r>
        <w:br w:type="page"/>
      </w:r>
    </w:p>
    <w:p>
      <w:pPr>
        <w:pStyle w:val="Heading1"/>
      </w:pPr>
      <w:r>
        <w:t xml:space="preserve">Entscheidungsbaum: Wann welche Lizenz triggern</w:t>
      </w:r>
    </w:p>
    <w:p>
      <w:pPr>
        <w:spacing w:after="120"/>
      </w:pPr>
      <w:r>
        <w:rPr>
          <w:b/>
          <w:bCs/>
          <w:color w:val="1B4F72"/>
        </w:rPr>
        <w:t xml:space="preserve">Regel 1: </w:t>
      </w:r>
      <w:r>
        <w:t xml:space="preserve">Keine Lizenz beantragen die du noch nicht brauchst. Jede Lizenz erst wenn der Revenue-Stream sie rechtfertigt.</w:t>
      </w:r>
    </w:p>
    <w:p>
      <w:pPr>
        <w:spacing w:after="120"/>
      </w:pPr>
      <w:r>
        <w:rPr>
          <w:b/>
          <w:bCs/>
          <w:color w:val="1B4F72"/>
        </w:rPr>
        <w:t xml:space="preserve">Regel 2: </w:t>
      </w:r>
      <w:r>
        <w:t xml:space="preserve">Vorlaufzeit einplanen. CASP braucht 4-6 Monate, MGA 3-4 Monate. Antrag starten wenn der Trigger absehbar ist, nicht wenn er eintritt.</w:t>
      </w:r>
    </w:p>
    <w:p>
      <w:pPr>
        <w:spacing w:after="120"/>
      </w:pPr>
      <w:r>
        <w:rPr>
          <w:b/>
          <w:bCs/>
          <w:color w:val="1B4F72"/>
        </w:rPr>
        <w:t xml:space="preserve">Regel 3: </w:t>
      </w:r>
      <w:r>
        <w:t xml:space="preserve">Im Zweifel: Feature deaktivieren statt ohne Lizenz betreiben. Lieber eine Woche ohne Paid Fantasy als eine Woche ohne Firma.</w:t>
      </w:r>
    </w:p>
    <w:p>
      <w:pPr>
        <w:spacing w:after="120"/>
      </w:pPr>
      <w:r>
        <w:rPr>
          <w:b/>
          <w:bCs/>
          <w:color w:val="1B4F72"/>
        </w:rPr>
        <w:t xml:space="preserve">Regel 4: </w:t>
      </w:r>
      <w:r>
        <w:t xml:space="preserve">Geofencing ist deine beste Versicherung. Wenn ein Land kritisch wird: Feature dort abschalten, Free Variante anbieten, weitermachen.</w:t>
      </w:r>
    </w:p>
    <w:p>
      <w:pPr>
        <w:spacing w:after="120"/>
      </w:pPr>
      <w:r>
        <w:rPr>
          <w:b/>
          <w:bCs/>
          <w:color w:val="1B4F72"/>
        </w:rPr>
        <w:t xml:space="preserve">Regel 5: </w:t>
      </w:r>
      <w:r>
        <w:t xml:space="preserve">Der User der das volle BeScout-Erlebnis will, findet seinen Weg. Deine Pflicht: IP-basiertes Geofencing + KYC-Verifikation. Mehr verlangt kein Regulator.</w:t>
      </w:r>
    </w:p>
    <w:p>
      <w:pPr>
        <w:spacing w:after="100"/>
      </w:pPr>
    </w:p>
    <w:p>
      <w:pPr>
        <w:pStyle w:val="Heading2"/>
      </w:pPr>
      <w:r>
        <w:t xml:space="preserve">Zusammenfassung Lizenz-Kaskade</w:t>
      </w:r>
    </w:p>
    <w:p>
      <w:pPr>
        <w:spacing w:after="120"/>
      </w:pPr>
      <w:r>
        <w:t xml:space="preserve">Malta Ltd. (€6.9K) → AML/KYC Setup (€4.5K) → MiCA €1M Exemption (€0) → KVKK (€1K) → CASP Lizenz (€181K) → MGA Gaming (€50-80K) → E-Money Partnership (€15K)</w:t>
      </w:r>
    </w:p>
    <w:p>
      <w:pPr>
        <w:spacing w:after="50"/>
      </w:pPr>
    </w:p>
    <w:p>
      <w:pPr>
        <w:spacing w:after="120"/>
      </w:pPr>
      <w:r>
        <w:rPr>
          <w:b/>
          <w:bCs/>
          <w:color w:val="1B4F72"/>
        </w:rPr>
        <w:t xml:space="preserve">Gesamtkosten alle Lizenzen: ~€312K </w:t>
      </w:r>
      <w:r>
        <w:t xml:space="preserve">| Davon Eigenkapital: ~€25K | Davon Revenue-finanziert: ~€287K | Laufend ab Y2: ~€83.5K/Jahr</w:t>
      </w:r>
    </w:p>
    <w:p>
      <w:pPr>
        <w:spacing w:after="200"/>
      </w:pPr>
    </w:p>
    <w:p>
      <w:pPr>
        <w:pBdr>
          <w:bottom w:val="single" w:color="2E86C1" w:sz="2"/>
        </w:pBdr>
        <w:spacing w:before="200" w:after="200"/>
      </w:pPr>
    </w:p>
    <w:p>
      <w:pPr>
        <w:pStyle w:val="Heading2"/>
      </w:pPr>
      <w:r>
        <w:t xml:space="preserve">Nächste Schritte</w:t>
      </w:r>
    </w:p>
    <w:p>
      <w:pPr>
        <w:pStyle w:val="ListParagraph"/>
        <w:numPr>
          <w:ilvl w:val="0"/>
          <w:numId w:val="2"/>
        </w:numPr>
        <w:spacing w:after="60"/>
      </w:pPr>
      <w:r>
        <w:rPr>
          <w:sz w:val="20"/>
          <w:szCs w:val="20"/>
        </w:rPr>
        <w:t xml:space="preserve">Malta Ltd. gründen — CSP beauftragen, Nominee Director finden</w:t>
      </w:r>
    </w:p>
    <w:p>
      <w:pPr>
        <w:pStyle w:val="ListParagraph"/>
        <w:numPr>
          <w:ilvl w:val="0"/>
          <w:numId w:val="2"/>
        </w:numPr>
        <w:spacing w:after="60"/>
      </w:pPr>
      <w:r>
        <w:rPr>
          <w:sz w:val="20"/>
          <w:szCs w:val="20"/>
        </w:rPr>
        <w:t xml:space="preserve">BSD Legal Opinion beauftragen — Utility Token Klassifizierung bestätigen lassen</w:t>
      </w:r>
    </w:p>
    <w:p>
      <w:pPr>
        <w:pStyle w:val="ListParagraph"/>
        <w:numPr>
          <w:ilvl w:val="0"/>
          <w:numId w:val="2"/>
        </w:numPr>
        <w:spacing w:after="60"/>
      </w:pPr>
      <w:r>
        <w:rPr>
          <w:sz w:val="20"/>
          <w:szCs w:val="20"/>
        </w:rPr>
        <w:t xml:space="preserve">ToS + Privacy Policy dreisprachig (EN/DE/TR) erstellen lassen</w:t>
      </w:r>
    </w:p>
    <w:p>
      <w:pPr>
        <w:pStyle w:val="ListParagraph"/>
        <w:numPr>
          <w:ilvl w:val="0"/>
          <w:numId w:val="2"/>
        </w:numPr>
        <w:spacing w:after="60"/>
      </w:pPr>
      <w:r>
        <w:rPr>
          <w:sz w:val="20"/>
          <w:szCs w:val="20"/>
        </w:rPr>
        <w:t xml:space="preserve">Geofencing-Architektur in Supabase implementieren (Region Tiers + Feature Flags)</w:t>
      </w:r>
    </w:p>
    <w:p>
      <w:pPr>
        <w:pStyle w:val="ListParagraph"/>
        <w:numPr>
          <w:ilvl w:val="0"/>
          <w:numId w:val="2"/>
        </w:numPr>
        <w:spacing w:after="60"/>
      </w:pPr>
      <w:r>
        <w:rPr>
          <w:sz w:val="20"/>
          <w:szCs w:val="20"/>
        </w:rPr>
        <w:t xml:space="preserve">BSD Kill-Switch bei €900K einbauen (automatische Verkaufssperre)</w:t>
      </w:r>
    </w:p>
    <w:p>
      <w:pPr>
        <w:pStyle w:val="ListParagraph"/>
        <w:numPr>
          <w:ilvl w:val="0"/>
          <w:numId w:val="2"/>
        </w:numPr>
        <w:spacing w:after="60"/>
      </w:pPr>
      <w:r>
        <w:rPr>
          <w:sz w:val="20"/>
          <w:szCs w:val="20"/>
        </w:rPr>
        <w:t xml:space="preserve">CASP-Anwalt in Malta identifizieren und Erstgespräch führen (Vorbereitung, noch kein Antrag)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BeScout Ltd. (Malta) | </w:t>
    </w:r>
    <w:r>
      <w:rPr>
        <w:rFonts w:ascii="Arial" w:cs="Arial" w:eastAsia="Arial" w:hAnsi="Arial"/>
        <w:color w:val="7F8C8D"/>
        <w:sz w:val="16"/>
        <w:szCs w:val="16"/>
      </w:rPr>
      <w:t xml:space="preserve">Seite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6"/>
        <w:szCs w:val="16"/>
      </w:rPr>
      <w:t xml:space="preserve">BeScout — Licensing Roadmap v1.0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2026-02-22T21:19:45.300Z</dcterms:created>
  <dcterms:modified xsi:type="dcterms:W3CDTF">2026-02-22T21:19:45.301Z</dcterms:modified>
</cp:coreProperties>
</file>

<file path=docProps/custom.xml><?xml version="1.0" encoding="utf-8"?>
<Properties xmlns="http://schemas.openxmlformats.org/officeDocument/2006/custom-properties" xmlns:vt="http://schemas.openxmlformats.org/officeDocument/2006/docPropsVTypes"/>
</file>