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55B7E"/>
          <w:sz w:val="28"/>
        </w:rPr>
        <w:t>PROPOSITION N°1</w:t>
      </w:r>
    </w:p>
    <w:p>
      <w:pPr>
        <w:jc w:val="center"/>
      </w:pPr>
      <w:r>
        <w:rPr>
          <w:b/>
          <w:color w:val="194669"/>
          <w:sz w:val="58"/>
        </w:rPr>
        <w:t>DATAWITNESS AFRICA</w:t>
      </w:r>
    </w:p>
    <w:p>
      <w:pPr>
        <w:jc w:val="center"/>
      </w:pPr>
      <w:r>
        <w:rPr>
          <w:i/>
          <w:sz w:val="28"/>
        </w:rPr>
        <w:t>Une IA capable de détecter les contradictions cachées dans les données publiques africaines et d’en reconstruire la preuve.</w:t>
      </w:r>
    </w:p>
    <w:p>
      <w:pPr>
        <w:spacing w:before="400"/>
        <w:jc w:val="center"/>
      </w:pPr>
      <w:r>
        <w:rPr>
          <w:sz w:val="22"/>
        </w:rPr>
        <w:t>Dossier détaillé de présentation du concept</w:t>
        <w:br/>
        <w:t>Hackathon Technologie &amp; Intelligence Artificielle</w:t>
        <w:br/>
        <w:t>L’Aube de l’Intelligence Artificielle — Édition 2</w:t>
      </w:r>
    </w:p>
    <w:p>
      <w:pPr>
        <w:spacing w:before="1600"/>
        <w:jc w:val="center"/>
      </w:pPr>
      <w:r>
        <w:rPr>
          <w:sz w:val="20"/>
        </w:rPr>
        <w:t>Équipe : DJERADE GOLBE Parfait • KOMOSSI Sosso • YENDONGOU Damtotimais</w:t>
      </w:r>
    </w:p>
    <w:p>
      <w:pPr>
        <w:jc w:val="center"/>
      </w:pPr>
      <w:r>
        <w:rPr>
          <w:i/>
        </w:rPr>
        <w:t>Version de travail — les chiffres, les sources et le périmètre du prototype devront être vérifiés avant dépôt.</w:t>
      </w:r>
    </w:p>
    <w:p>
      <w:r>
        <w:br w:type="page"/>
      </w:r>
    </w:p>
    <w:p>
      <w:pPr>
        <w:pStyle w:val="Heading1"/>
      </w:pPr>
      <w:r>
        <w:t>1. Résumé exécutif</w:t>
      </w:r>
    </w:p>
    <w:p>
      <w:r>
        <w:t>DataWitness Africa est un concept d’assistant de vérification des données publiques. À partir de plusieurs rapports, PDF, fichiers Excel, tableaux statistiques ou bases de données, il repère les chiffres qui semblent parler du même indicateur, identifie les écarts et aide à comprendre leur origine. Au lieu de donner uniquement une réponse, il remonte à la source, à la date, à la page et au contexte qui permettent de vérifier l’information.</w:t>
      </w:r>
    </w:p>
    <w:p>
      <w:r>
        <w:t>La proposition vise un besoin en amont de nombreuses applications d’intelligence artificielle : avant de prédire ou de recommander, il faut pouvoir vérifier si les données utilisées sont comparables, suffisamment documentées et traçables. Le projet ne prétend pas que les données africaines sont toutes contradictoires ni qu’aucun outil similaire n’existe ; il propose de réunir, dans une interface accessible, le rapprochement des indicateurs, la détection des divergences et l’explication fondée sur les preuves.</w:t>
      </w:r>
    </w:p>
    <w:p>
      <w:pPr>
        <w:pStyle w:val="Heading1"/>
      </w:pPr>
      <w:r>
        <w:t>2. Le problème à résoudre</w:t>
      </w:r>
    </w:p>
    <w:p>
      <w:r>
        <w:t>Les administrations, ONG, journalistes, chercheurs, étudiants et entreprises utilisent de nombreux documents : rapports, annuaires statistiques, PDF, feuilles Excel, bases de données, tableaux de bord et publications en ligne. Les chiffres qu’ils contiennent peuvent être contradictoires, anciens, calculés selon des méthodes différentes ou difficiles à relier à leur source originale.</w:t>
      </w:r>
    </w:p>
    <w:p>
      <w:r>
        <w:t>Une différence entre deux chiffres ne signifie pas toujours qu’un document est faux. Elle peut provenir d’une période différente, d’une population distincte, d’une définition modifiée, d’une unité ou d’un périmètre géographique. Le vrai problème est que ces différences sont difficiles à repérer et à expliquer rapidement lorsqu’on croise manuellement de nombreuses sources.</w:t>
      </w:r>
    </w:p>
    <w:p>
      <w:r>
        <w:t>Avec les outils d’IA générative, le risque est amplifié : un système peut formuler une réponse convaincante à partir de sources incompatibles sans signaler clairement la divergence. Il faut donc une couche de vérification qui rende les preuves visibles et évite de confondre une réponse fluide avec une réponse vérifiée.</w:t>
      </w:r>
    </w:p>
    <w:p>
      <w:pPr>
        <w:pStyle w:val="Heading1"/>
      </w:pPr>
      <w:r>
        <w:t>3. Exemple concret du fonctionnement</w:t>
      </w:r>
    </w:p>
    <w:p>
      <w:r>
        <w:t>Imaginons que l’équipe analyse plusieurs rapports publics sur l’éducation. Un document présente un taux d’abandon scolaire de 18,2 %, tandis qu’un autre indique 23,7 %. DataWitness ne conclut pas immédiatement qu’un chiffre est faux. Il vérifie d’abord la période, la population, la définition de l’indicateur, l’unité, la zone géographique et la méthode de calcul, puis présente les preuves accessibles.</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Mar>
              <w:top w:w="100" w:type="dxa"/>
              <w:start w:w="100" w:type="dxa"/>
              <w:bottom w:w="100" w:type="dxa"/>
              <w:end w:w="100" w:type="dxa"/>
            </w:tcMar>
            <w:shd w:fill="194669"/>
          </w:tcPr>
          <w:p>
            <w:pPr>
              <w:jc w:val="center"/>
            </w:pPr>
            <w:r>
              <w:rPr>
                <w:b/>
                <w:color w:val="FFFFFF"/>
                <w:sz w:val="17"/>
              </w:rPr>
              <w:t>RAPPORT / SOURCE A</w:t>
            </w:r>
          </w:p>
        </w:tc>
        <w:tc>
          <w:tcPr>
            <w:tcW w:type="dxa" w:w="5100"/>
            <w:vAlign w:val="center"/>
            <w:tcMar>
              <w:top w:w="100" w:type="dxa"/>
              <w:start w:w="100" w:type="dxa"/>
              <w:bottom w:w="100" w:type="dxa"/>
              <w:end w:w="100" w:type="dxa"/>
            </w:tcMar>
            <w:shd w:fill="194669"/>
          </w:tcPr>
          <w:p>
            <w:pPr>
              <w:jc w:val="center"/>
            </w:pPr>
            <w:r>
              <w:rPr>
                <w:b/>
                <w:color w:val="FFFFFF"/>
                <w:sz w:val="17"/>
              </w:rPr>
              <w:t>RAPPORT / SOURCE B</w:t>
            </w:r>
          </w:p>
        </w:tc>
      </w:tr>
      <w:tr>
        <w:tc>
          <w:tcPr>
            <w:tcW w:type="dxa" w:w="5100"/>
            <w:vAlign w:val="center"/>
            <w:tcMar>
              <w:top w:w="100" w:type="dxa"/>
              <w:start w:w="100" w:type="dxa"/>
              <w:bottom w:w="100" w:type="dxa"/>
              <w:end w:w="100" w:type="dxa"/>
            </w:tcMar>
            <w:shd w:fill="F0F5F8"/>
          </w:tcPr>
          <w:p>
            <w:pPr>
              <w:jc w:val="center"/>
            </w:pPr>
            <w:r>
              <w:rPr>
                <w:sz w:val="17"/>
              </w:rPr>
              <w:t>Indicateur : abandon scolaire</w:t>
              <w:br/>
              <w:t>Valeur : 18,2 %</w:t>
              <w:br/>
              <w:t>Période à extraire</w:t>
              <w:br/>
              <w:t>Source + page</w:t>
            </w:r>
          </w:p>
        </w:tc>
        <w:tc>
          <w:tcPr>
            <w:tcW w:type="dxa" w:w="5100"/>
            <w:vAlign w:val="center"/>
            <w:tcMar>
              <w:top w:w="100" w:type="dxa"/>
              <w:start w:w="100" w:type="dxa"/>
              <w:bottom w:w="100" w:type="dxa"/>
              <w:end w:w="100" w:type="dxa"/>
            </w:tcMar>
            <w:shd w:fill="F0F5F8"/>
          </w:tcPr>
          <w:p>
            <w:pPr>
              <w:jc w:val="center"/>
            </w:pPr>
            <w:r>
              <w:rPr>
                <w:sz w:val="17"/>
              </w:rPr>
              <w:t>Indicateur : abandon scolaire</w:t>
              <w:br/>
              <w:t>Valeur : 23,7 %</w:t>
              <w:br/>
              <w:t>Période à extraire</w:t>
              <w:br/>
              <w:t>Source + page</w:t>
            </w:r>
          </w:p>
        </w:tc>
      </w:tr>
      <w:tr>
        <w:tc>
          <w:tcPr>
            <w:tcW w:type="dxa" w:w="5100"/>
            <w:vAlign w:val="center"/>
            <w:tcMar>
              <w:top w:w="100" w:type="dxa"/>
              <w:start w:w="100" w:type="dxa"/>
              <w:bottom w:w="100" w:type="dxa"/>
              <w:end w:w="100" w:type="dxa"/>
            </w:tcMar>
            <w:shd w:fill="FFFFFF"/>
          </w:tcPr>
          <w:p>
            <w:pPr>
              <w:jc w:val="center"/>
            </w:pPr>
            <w:r>
              <w:rPr>
                <w:sz w:val="17"/>
              </w:rPr>
              <w:t>↘</w:t>
            </w:r>
          </w:p>
        </w:tc>
        <w:tc>
          <w:tcPr>
            <w:tcW w:type="dxa" w:w="5100"/>
            <w:vAlign w:val="center"/>
            <w:tcMar>
              <w:top w:w="100" w:type="dxa"/>
              <w:start w:w="100" w:type="dxa"/>
              <w:bottom w:w="100" w:type="dxa"/>
              <w:end w:w="100" w:type="dxa"/>
            </w:tcMar>
            <w:shd w:fill="FFFFFF"/>
          </w:tcPr>
          <w:p>
            <w:pPr>
              <w:jc w:val="center"/>
            </w:pPr>
            <w:r>
              <w:rPr>
                <w:sz w:val="17"/>
              </w:rPr>
              <w:t>↙</w:t>
            </w:r>
          </w:p>
        </w:tc>
      </w:tr>
      <w:tr>
        <w:tc>
          <w:tcPr>
            <w:tcW w:type="dxa" w:w="5100"/>
            <w:vAlign w:val="center"/>
            <w:tcMar>
              <w:top w:w="100" w:type="dxa"/>
              <w:start w:w="100" w:type="dxa"/>
              <w:bottom w:w="100" w:type="dxa"/>
              <w:end w:w="100" w:type="dxa"/>
            </w:tcMar>
            <w:shd w:fill="194669"/>
          </w:tcPr>
          <w:p>
            <w:pPr>
              <w:jc w:val="center"/>
            </w:pPr>
            <w:r>
              <w:rPr>
                <w:b/>
                <w:color w:val="FFFFFF"/>
                <w:sz w:val="17"/>
              </w:rPr>
              <w:t>COMPARAISON ET CONTRÔLES</w:t>
            </w:r>
          </w:p>
        </w:tc>
        <w:tc>
          <w:tcPr>
            <w:tcW w:type="dxa" w:w="5100"/>
            <w:vAlign w:val="center"/>
            <w:tcMar>
              <w:top w:w="100" w:type="dxa"/>
              <w:start w:w="100" w:type="dxa"/>
              <w:bottom w:w="100" w:type="dxa"/>
              <w:end w:w="100" w:type="dxa"/>
            </w:tcMar>
            <w:shd w:fill="194669"/>
          </w:tcPr>
          <w:p>
            <w:pPr>
              <w:jc w:val="center"/>
            </w:pPr>
            <w:r>
              <w:rPr>
                <w:b/>
                <w:color w:val="FFFFFF"/>
                <w:sz w:val="17"/>
              </w:rPr>
              <w:t>COMPARAISON ET CONTRÔLES</w:t>
            </w:r>
          </w:p>
        </w:tc>
      </w:tr>
      <w:tr>
        <w:tc>
          <w:tcPr>
            <w:tcW w:type="dxa" w:w="5100"/>
            <w:vAlign w:val="center"/>
            <w:tcMar>
              <w:top w:w="100" w:type="dxa"/>
              <w:start w:w="100" w:type="dxa"/>
              <w:bottom w:w="100" w:type="dxa"/>
              <w:end w:w="100" w:type="dxa"/>
            </w:tcMar>
            <w:shd w:fill="FFFFFF"/>
          </w:tcPr>
          <w:p>
            <w:pPr>
              <w:jc w:val="center"/>
            </w:pPr>
            <w:r>
              <w:rPr>
                <w:sz w:val="17"/>
              </w:rPr>
              <w:t>Période • définition • population • unité • territoire • méthode</w:t>
            </w:r>
          </w:p>
        </w:tc>
        <w:tc>
          <w:tcPr>
            <w:tcW w:type="dxa" w:w="5100"/>
            <w:vAlign w:val="center"/>
            <w:tcMar>
              <w:top w:w="100" w:type="dxa"/>
              <w:start w:w="100" w:type="dxa"/>
              <w:bottom w:w="100" w:type="dxa"/>
              <w:end w:w="100" w:type="dxa"/>
            </w:tcMar>
            <w:shd w:fill="FFFFFF"/>
          </w:tcPr>
          <w:p>
            <w:pPr>
              <w:jc w:val="center"/>
            </w:pPr>
            <w:r>
              <w:rPr>
                <w:sz w:val="17"/>
              </w:rPr>
              <w:t>Période • définition • population • unité • territoire • méthode</w:t>
            </w:r>
          </w:p>
        </w:tc>
      </w:tr>
      <w:tr>
        <w:tc>
          <w:tcPr>
            <w:tcW w:type="dxa" w:w="5100"/>
            <w:vAlign w:val="center"/>
            <w:tcMar>
              <w:top w:w="100" w:type="dxa"/>
              <w:start w:w="100" w:type="dxa"/>
              <w:bottom w:w="100" w:type="dxa"/>
              <w:end w:w="100" w:type="dxa"/>
            </w:tcMar>
            <w:shd w:fill="F0F5F8"/>
          </w:tcPr>
          <w:p>
            <w:pPr>
              <w:jc w:val="center"/>
            </w:pPr>
            <w:r>
              <w:rPr>
                <w:sz w:val="17"/>
              </w:rPr>
              <w:t>↓</w:t>
            </w:r>
          </w:p>
        </w:tc>
        <w:tc>
          <w:tcPr>
            <w:tcW w:type="dxa" w:w="5100"/>
            <w:vAlign w:val="center"/>
            <w:tcMar>
              <w:top w:w="100" w:type="dxa"/>
              <w:start w:w="100" w:type="dxa"/>
              <w:bottom w:w="100" w:type="dxa"/>
              <w:end w:w="100" w:type="dxa"/>
            </w:tcMar>
            <w:shd w:fill="F0F5F8"/>
          </w:tcPr>
          <w:p>
            <w:pPr>
              <w:jc w:val="center"/>
            </w:pPr>
            <w:r>
              <w:rPr>
                <w:sz w:val="17"/>
              </w:rPr>
              <w:t>↓</w:t>
            </w:r>
          </w:p>
        </w:tc>
      </w:tr>
      <w:tr>
        <w:tc>
          <w:tcPr>
            <w:tcW w:type="dxa" w:w="5100"/>
            <w:vAlign w:val="center"/>
            <w:tcMar>
              <w:top w:w="100" w:type="dxa"/>
              <w:start w:w="100" w:type="dxa"/>
              <w:bottom w:w="100" w:type="dxa"/>
              <w:end w:w="100" w:type="dxa"/>
            </w:tcMar>
            <w:shd w:fill="194669"/>
          </w:tcPr>
          <w:p>
            <w:pPr>
              <w:jc w:val="center"/>
            </w:pPr>
            <w:r>
              <w:rPr>
                <w:b/>
                <w:color w:val="FFFFFF"/>
                <w:sz w:val="17"/>
              </w:rPr>
              <w:t>RÉSULTAT EXPLICABLE</w:t>
            </w:r>
          </w:p>
        </w:tc>
        <w:tc>
          <w:tcPr>
            <w:tcW w:type="dxa" w:w="5100"/>
            <w:vAlign w:val="center"/>
            <w:tcMar>
              <w:top w:w="100" w:type="dxa"/>
              <w:start w:w="100" w:type="dxa"/>
              <w:bottom w:w="100" w:type="dxa"/>
              <w:end w:w="100" w:type="dxa"/>
            </w:tcMar>
            <w:shd w:fill="194669"/>
          </w:tcPr>
          <w:p>
            <w:pPr>
              <w:jc w:val="center"/>
            </w:pPr>
            <w:r>
              <w:rPr>
                <w:b/>
                <w:color w:val="FFFFFF"/>
                <w:sz w:val="17"/>
              </w:rPr>
              <w:t>RÉSULTAT EXPLICABLE</w:t>
            </w:r>
          </w:p>
        </w:tc>
      </w:tr>
      <w:tr>
        <w:tc>
          <w:tcPr>
            <w:tcW w:type="dxa" w:w="5100"/>
            <w:vAlign w:val="center"/>
            <w:tcMar>
              <w:top w:w="100" w:type="dxa"/>
              <w:start w:w="100" w:type="dxa"/>
              <w:bottom w:w="100" w:type="dxa"/>
              <w:end w:w="100" w:type="dxa"/>
            </w:tcMar>
            <w:shd w:fill="F0F5F8"/>
          </w:tcPr>
          <w:p>
            <w:pPr>
              <w:jc w:val="center"/>
            </w:pPr>
            <w:r>
              <w:rPr>
                <w:sz w:val="17"/>
              </w:rPr>
              <w:t>Contradiction possible, différence de périmètre ou comparaison invalide</w:t>
            </w:r>
          </w:p>
        </w:tc>
        <w:tc>
          <w:tcPr>
            <w:tcW w:type="dxa" w:w="5100"/>
            <w:vAlign w:val="center"/>
            <w:tcMar>
              <w:top w:w="100" w:type="dxa"/>
              <w:start w:w="100" w:type="dxa"/>
              <w:bottom w:w="100" w:type="dxa"/>
              <w:end w:w="100" w:type="dxa"/>
            </w:tcMar>
            <w:shd w:fill="F0F5F8"/>
          </w:tcPr>
          <w:p>
            <w:pPr>
              <w:jc w:val="center"/>
            </w:pPr>
            <w:r>
              <w:rPr>
                <w:sz w:val="17"/>
              </w:rPr>
              <w:t>Contradiction possible, différence de périmètre ou comparaison invalide</w:t>
            </w:r>
          </w:p>
        </w:tc>
      </w:tr>
      <w:tr>
        <w:tc>
          <w:tcPr>
            <w:tcW w:type="dxa" w:w="5100"/>
            <w:vAlign w:val="center"/>
            <w:tcMar>
              <w:top w:w="100" w:type="dxa"/>
              <w:start w:w="100" w:type="dxa"/>
              <w:bottom w:w="100" w:type="dxa"/>
              <w:end w:w="100" w:type="dxa"/>
            </w:tcMar>
            <w:shd w:fill="FFFFFF"/>
          </w:tcPr>
          <w:p>
            <w:pPr>
              <w:jc w:val="center"/>
            </w:pPr>
            <w:r>
              <w:rPr>
                <w:sz w:val="17"/>
              </w:rPr>
              <w:t>↓</w:t>
            </w:r>
          </w:p>
        </w:tc>
        <w:tc>
          <w:tcPr>
            <w:tcW w:type="dxa" w:w="5100"/>
            <w:vAlign w:val="center"/>
            <w:tcMar>
              <w:top w:w="100" w:type="dxa"/>
              <w:start w:w="100" w:type="dxa"/>
              <w:bottom w:w="100" w:type="dxa"/>
              <w:end w:w="100" w:type="dxa"/>
            </w:tcMar>
            <w:shd w:fill="FFFFFF"/>
          </w:tcPr>
          <w:p>
            <w:pPr>
              <w:jc w:val="center"/>
            </w:pPr>
            <w:r>
              <w:rPr>
                <w:sz w:val="17"/>
              </w:rPr>
              <w:t>↓</w:t>
            </w:r>
          </w:p>
        </w:tc>
      </w:tr>
      <w:tr>
        <w:tc>
          <w:tcPr>
            <w:tcW w:type="dxa" w:w="5100"/>
            <w:vAlign w:val="center"/>
            <w:tcMar>
              <w:top w:w="100" w:type="dxa"/>
              <w:start w:w="100" w:type="dxa"/>
              <w:bottom w:w="100" w:type="dxa"/>
              <w:end w:w="100" w:type="dxa"/>
            </w:tcMar>
            <w:shd w:fill="194669"/>
          </w:tcPr>
          <w:p>
            <w:pPr>
              <w:jc w:val="center"/>
            </w:pPr>
            <w:r>
              <w:rPr>
                <w:b/>
                <w:color w:val="FFFFFF"/>
                <w:sz w:val="17"/>
              </w:rPr>
              <w:t>PREUVE CONSULTABLE</w:t>
            </w:r>
          </w:p>
        </w:tc>
        <w:tc>
          <w:tcPr>
            <w:tcW w:type="dxa" w:w="5100"/>
            <w:vAlign w:val="center"/>
            <w:tcMar>
              <w:top w:w="100" w:type="dxa"/>
              <w:start w:w="100" w:type="dxa"/>
              <w:bottom w:w="100" w:type="dxa"/>
              <w:end w:w="100" w:type="dxa"/>
            </w:tcMar>
            <w:shd w:fill="194669"/>
          </w:tcPr>
          <w:p>
            <w:pPr>
              <w:jc w:val="center"/>
            </w:pPr>
            <w:r>
              <w:rPr>
                <w:b/>
                <w:color w:val="FFFFFF"/>
                <w:sz w:val="17"/>
              </w:rPr>
              <w:t>PREUVE CONSULTABLE</w:t>
            </w:r>
          </w:p>
        </w:tc>
      </w:tr>
      <w:tr>
        <w:tc>
          <w:tcPr>
            <w:tcW w:type="dxa" w:w="5100"/>
            <w:vAlign w:val="center"/>
            <w:tcMar>
              <w:top w:w="100" w:type="dxa"/>
              <w:start w:w="100" w:type="dxa"/>
              <w:bottom w:w="100" w:type="dxa"/>
              <w:end w:w="100" w:type="dxa"/>
            </w:tcMar>
            <w:shd w:fill="FFFFFF"/>
          </w:tcPr>
          <w:p>
            <w:pPr>
              <w:jc w:val="center"/>
            </w:pPr>
            <w:r>
              <w:rPr>
                <w:sz w:val="17"/>
              </w:rPr>
              <w:t>Sources originales • passages cités • contexte • niveau de confiance</w:t>
            </w:r>
          </w:p>
        </w:tc>
        <w:tc>
          <w:tcPr>
            <w:tcW w:type="dxa" w:w="5100"/>
            <w:vAlign w:val="center"/>
            <w:tcMar>
              <w:top w:w="100" w:type="dxa"/>
              <w:start w:w="100" w:type="dxa"/>
              <w:bottom w:w="100" w:type="dxa"/>
              <w:end w:w="100" w:type="dxa"/>
            </w:tcMar>
            <w:shd w:fill="FFFFFF"/>
          </w:tcPr>
          <w:p>
            <w:pPr>
              <w:jc w:val="center"/>
            </w:pPr>
            <w:r>
              <w:rPr>
                <w:sz w:val="17"/>
              </w:rPr>
              <w:t>Sources originales • passages cités • contexte • niveau de confiance</w:t>
            </w:r>
          </w:p>
        </w:tc>
      </w:tr>
    </w:tbl>
    <w:p>
      <w:r>
        <w:t>Les valeurs 18,2 % et 23,7 % sont uniquement un exemple illustratif, pas des statistiques réelles attribuées au Togo. Dans le prototype, chaque valeur affichée devra être reliée à une source vérifiable.</w:t>
      </w:r>
    </w:p>
    <w:p>
      <w:pPr>
        <w:pStyle w:val="Heading1"/>
      </w:pPr>
      <w:r>
        <w:t>4. Ce que le système conservera pour chaque affirmation</w:t>
      </w:r>
    </w:p>
    <w:p>
      <w:pPr>
        <w:pStyle w:val="ListBullet"/>
      </w:pPr>
      <w:r>
        <w:t>La valeur extraite et le nom de l’indicateur ;</w:t>
      </w:r>
    </w:p>
    <w:p>
      <w:pPr>
        <w:pStyle w:val="ListBullet"/>
      </w:pPr>
      <w:r>
        <w:t>La source originale, le titre du document et sa date de publication ;</w:t>
      </w:r>
    </w:p>
    <w:p>
      <w:pPr>
        <w:pStyle w:val="ListBullet"/>
      </w:pPr>
      <w:r>
        <w:t>La page, le tableau ou le passage d’où provient la valeur ;</w:t>
      </w:r>
    </w:p>
    <w:p>
      <w:pPr>
        <w:pStyle w:val="ListBullet"/>
      </w:pPr>
      <w:r>
        <w:t>La période statistique, l’unité, le territoire et la population concernés ;</w:t>
      </w:r>
    </w:p>
    <w:p>
      <w:pPr>
        <w:pStyle w:val="ListBullet"/>
      </w:pPr>
      <w:r>
        <w:t>La définition de l’indicateur et, lorsqu’elle est disponible, la méthode de calcul ;</w:t>
      </w:r>
    </w:p>
    <w:p>
      <w:pPr>
        <w:pStyle w:val="ListBullet"/>
      </w:pPr>
      <w:r>
        <w:t>Les autres valeurs comparables, la nature de l’écart et les raisons possibles ;</w:t>
      </w:r>
    </w:p>
    <w:p>
      <w:pPr>
        <w:pStyle w:val="ListBullet"/>
      </w:pPr>
      <w:r>
        <w:t>Un niveau de confiance accompagné d’une explication — jamais un score présenté comme une vérité absolue.</w:t>
      </w:r>
    </w:p>
    <w:p>
      <w:pPr>
        <w:pStyle w:val="Heading1"/>
      </w:pPr>
      <w:r>
        <w:t>5. Ce qui rend DataWitness différent</w:t>
      </w:r>
    </w:p>
    <w:p>
      <w:r>
        <w:t>DataWitness n’est pas simplement une IA qui répond à des questions sur les données africaines. Sa fonction distinctive est de vérifier si des chiffres présentés dans plusieurs sources sont réellement comparables, d’identifier les divergences et de rendre la chaîne de preuve consultable.</w:t>
      </w:r>
    </w:p>
    <w:p>
      <w:pPr>
        <w:pStyle w:val="ListNumber"/>
      </w:pPr>
      <w:r>
        <w:t>Rapprochement sémantique : reconnaître que deux indicateurs peuvent désigner le même phénomène malgré des formulations différentes ;</w:t>
      </w:r>
    </w:p>
    <w:p>
      <w:pPr>
        <w:pStyle w:val="ListNumber"/>
      </w:pPr>
      <w:r>
        <w:t>Contrôle du contexte : vérifier les périodes, unités, territoires, populations et définitions avant de comparer les valeurs ;</w:t>
      </w:r>
    </w:p>
    <w:p>
      <w:pPr>
        <w:pStyle w:val="ListNumber"/>
      </w:pPr>
      <w:r>
        <w:t>Explication des écarts : distinguer contradiction possible, changement de méthode et comparaison invalide ;</w:t>
      </w:r>
    </w:p>
    <w:p>
      <w:pPr>
        <w:pStyle w:val="ListNumber"/>
      </w:pPr>
      <w:r>
        <w:t>Traçabilité : permettre à l’utilisateur de revenir à la source, à la page et au passage qui soutiennent chaque résultat.</w:t>
      </w:r>
    </w:p>
    <w:p>
      <w:pPr>
        <w:pStyle w:val="Heading1"/>
      </w:pPr>
      <w:r>
        <w:t>6. Publics et cas d’usage</w:t>
      </w:r>
    </w:p>
    <w:p>
      <w:pPr>
        <w:pStyle w:val="ListBullet"/>
      </w:pPr>
      <w:r>
        <w:t>Organismes publics et instituts statistiques : contrôle préalable de publications et rapprochement de séries ;</w:t>
      </w:r>
    </w:p>
    <w:p>
      <w:pPr>
        <w:pStyle w:val="ListBullet"/>
      </w:pPr>
      <w:r>
        <w:t>Journalistes et fact-checkers : vérifier rapidement des chiffres cités dans des déclarations ou rapports ;</w:t>
      </w:r>
    </w:p>
    <w:p>
      <w:pPr>
        <w:pStyle w:val="ListBullet"/>
      </w:pPr>
      <w:r>
        <w:t>Chercheurs et étudiants : comparer des indicateurs sans perdre le contexte méthodologique ;</w:t>
      </w:r>
    </w:p>
    <w:p>
      <w:pPr>
        <w:pStyle w:val="ListBullet"/>
      </w:pPr>
      <w:r>
        <w:t>ONG et partenaires au développement : contrôler la cohérence des indicateurs utilisés dans des rapports ;</w:t>
      </w:r>
    </w:p>
    <w:p>
      <w:pPr>
        <w:pStyle w:val="ListBullet"/>
      </w:pPr>
      <w:r>
        <w:t>Équipes Data/IA : documenter la qualité et la provenance des données avant de construire un modèle.</w:t>
      </w:r>
    </w:p>
    <w:p>
      <w:pPr>
        <w:pStyle w:val="Heading1"/>
      </w:pPr>
      <w:r>
        <w:t>7. Données de départ et périmètre réaliste du prototype</w:t>
      </w:r>
    </w:p>
    <w:p>
      <w:r>
        <w:t>Pour éviter une démonstration trop vaste ou invérifiable, le prototype devrait commencer par un seul domaine, par exemple l’éducation au Togo, et un corpus restreint de documents publics. Les annuaires statistiques de l’INSEED, les publications ministérielles disponibles et les jeux de données ouverts peuvent constituer les premières sources, sous réserve de vérifier leur accessibilité, leurs conditions de réutilisation et la présence d’indicateurs comparables.</w:t>
      </w:r>
    </w:p>
    <w:p>
      <w:r>
        <w:t>La démonstration devrait inclure trois situations : (1) deux valeurs concordantes ; (2) deux valeurs différentes qui s’expliquent par une période ou un périmètre différent ; (3) un écart qui demeure inexpliqué et doit être signalé pour vérification humaine. Il vaut mieux démontrer correctement ces trois cas que prétendre analyser des dizaines de milliers de documents sans preuve.</w:t>
      </w:r>
    </w:p>
    <w:p>
      <w:pPr>
        <w:pStyle w:val="Heading1"/>
      </w:pPr>
      <w:r>
        <w:t>8. Architecture technique envisageable</w:t>
      </w:r>
    </w:p>
    <w:tbl>
      <w:tblPr>
        <w:tblStyle w:val="TableGrid"/>
        <w:tblW w:type="auto" w:w="0"/>
        <w:jc w:val="center"/>
        <w:tblLook w:firstColumn="1" w:firstRow="1" w:lastColumn="0" w:lastRow="0" w:noHBand="0" w:noVBand="1" w:val="04A0"/>
      </w:tblPr>
      <w:tblGrid>
        <w:gridCol w:w="5100"/>
        <w:gridCol w:w="5100"/>
      </w:tblGrid>
      <w:tr>
        <w:tc>
          <w:tcPr>
            <w:tcW w:type="dxa" w:w="5100"/>
            <w:shd w:fill="DCEAF3"/>
            <w:tcMar>
              <w:top w:w="100" w:type="dxa"/>
              <w:start w:w="100" w:type="dxa"/>
              <w:bottom w:w="100" w:type="dxa"/>
              <w:end w:w="100" w:type="dxa"/>
            </w:tcMar>
          </w:tcPr>
          <w:p>
            <w:r>
              <w:rPr>
                <w:b/>
                <w:sz w:val="18"/>
              </w:rPr>
              <w:t>1. Ingestion</w:t>
            </w:r>
          </w:p>
        </w:tc>
        <w:tc>
          <w:tcPr>
            <w:tcW w:type="dxa" w:w="5100"/>
            <w:tcMar>
              <w:top w:w="100" w:type="dxa"/>
              <w:start w:w="100" w:type="dxa"/>
              <w:bottom w:w="100" w:type="dxa"/>
              <w:end w:w="100" w:type="dxa"/>
            </w:tcMar>
          </w:tcPr>
          <w:p>
            <w:r>
              <w:rPr>
                <w:sz w:val="18"/>
              </w:rPr>
              <w:t>PDF, XLSX, CSV et pages de rapports autorisées</w:t>
            </w:r>
          </w:p>
        </w:tc>
      </w:tr>
      <w:tr>
        <w:tc>
          <w:tcPr>
            <w:tcW w:type="dxa" w:w="5100"/>
            <w:shd w:fill="DCEAF3"/>
            <w:tcMar>
              <w:top w:w="100" w:type="dxa"/>
              <w:start w:w="100" w:type="dxa"/>
              <w:bottom w:w="100" w:type="dxa"/>
              <w:end w:w="100" w:type="dxa"/>
            </w:tcMar>
          </w:tcPr>
          <w:p>
            <w:r>
              <w:rPr>
                <w:b/>
                <w:sz w:val="18"/>
              </w:rPr>
              <w:t>2. Extraction</w:t>
            </w:r>
          </w:p>
        </w:tc>
        <w:tc>
          <w:tcPr>
            <w:tcW w:type="dxa" w:w="5100"/>
            <w:tcMar>
              <w:top w:w="100" w:type="dxa"/>
              <w:start w:w="100" w:type="dxa"/>
              <w:bottom w:w="100" w:type="dxa"/>
              <w:end w:w="100" w:type="dxa"/>
            </w:tcMar>
          </w:tcPr>
          <w:p>
            <w:r>
              <w:rPr>
                <w:sz w:val="18"/>
              </w:rPr>
              <w:t>Texte, tableaux, valeurs, unités, dates et métadonnées</w:t>
            </w:r>
          </w:p>
        </w:tc>
      </w:tr>
      <w:tr>
        <w:tc>
          <w:tcPr>
            <w:tcW w:type="dxa" w:w="5100"/>
            <w:shd w:fill="DCEAF3"/>
            <w:tcMar>
              <w:top w:w="100" w:type="dxa"/>
              <w:start w:w="100" w:type="dxa"/>
              <w:bottom w:w="100" w:type="dxa"/>
              <w:end w:w="100" w:type="dxa"/>
            </w:tcMar>
          </w:tcPr>
          <w:p>
            <w:r>
              <w:rPr>
                <w:b/>
                <w:sz w:val="18"/>
              </w:rPr>
              <w:t>3. Normalisation</w:t>
            </w:r>
          </w:p>
        </w:tc>
        <w:tc>
          <w:tcPr>
            <w:tcW w:type="dxa" w:w="5100"/>
            <w:tcMar>
              <w:top w:w="100" w:type="dxa"/>
              <w:start w:w="100" w:type="dxa"/>
              <w:bottom w:w="100" w:type="dxa"/>
              <w:end w:w="100" w:type="dxa"/>
            </w:tcMar>
          </w:tcPr>
          <w:p>
            <w:r>
              <w:rPr>
                <w:sz w:val="18"/>
              </w:rPr>
              <w:t>Noms d’indicateurs, périodes, zones, unités et définitions</w:t>
            </w:r>
          </w:p>
        </w:tc>
      </w:tr>
      <w:tr>
        <w:tc>
          <w:tcPr>
            <w:tcW w:type="dxa" w:w="5100"/>
            <w:shd w:fill="DCEAF3"/>
            <w:tcMar>
              <w:top w:w="100" w:type="dxa"/>
              <w:start w:w="100" w:type="dxa"/>
              <w:bottom w:w="100" w:type="dxa"/>
              <w:end w:w="100" w:type="dxa"/>
            </w:tcMar>
          </w:tcPr>
          <w:p>
            <w:r>
              <w:rPr>
                <w:b/>
                <w:sz w:val="18"/>
              </w:rPr>
              <w:t>4. Rapprochement</w:t>
            </w:r>
          </w:p>
        </w:tc>
        <w:tc>
          <w:tcPr>
            <w:tcW w:type="dxa" w:w="5100"/>
            <w:tcMar>
              <w:top w:w="100" w:type="dxa"/>
              <w:start w:w="100" w:type="dxa"/>
              <w:bottom w:w="100" w:type="dxa"/>
              <w:end w:w="100" w:type="dxa"/>
            </w:tcMar>
          </w:tcPr>
          <w:p>
            <w:r>
              <w:rPr>
                <w:sz w:val="18"/>
              </w:rPr>
              <w:t>Recherche sémantique + règles explicites de comparabilité</w:t>
            </w:r>
          </w:p>
        </w:tc>
      </w:tr>
      <w:tr>
        <w:tc>
          <w:tcPr>
            <w:tcW w:type="dxa" w:w="5100"/>
            <w:shd w:fill="DCEAF3"/>
            <w:tcMar>
              <w:top w:w="100" w:type="dxa"/>
              <w:start w:w="100" w:type="dxa"/>
              <w:bottom w:w="100" w:type="dxa"/>
              <w:end w:w="100" w:type="dxa"/>
            </w:tcMar>
          </w:tcPr>
          <w:p>
            <w:r>
              <w:rPr>
                <w:b/>
                <w:sz w:val="18"/>
              </w:rPr>
              <w:t>5. Détection</w:t>
            </w:r>
          </w:p>
        </w:tc>
        <w:tc>
          <w:tcPr>
            <w:tcW w:type="dxa" w:w="5100"/>
            <w:tcMar>
              <w:top w:w="100" w:type="dxa"/>
              <w:start w:w="100" w:type="dxa"/>
              <w:bottom w:w="100" w:type="dxa"/>
              <w:end w:w="100" w:type="dxa"/>
            </w:tcMar>
          </w:tcPr>
          <w:p>
            <w:r>
              <w:rPr>
                <w:sz w:val="18"/>
              </w:rPr>
              <w:t>Écarts numériques, incohérences et comparaisons non valides</w:t>
            </w:r>
          </w:p>
        </w:tc>
      </w:tr>
      <w:tr>
        <w:tc>
          <w:tcPr>
            <w:tcW w:type="dxa" w:w="5100"/>
            <w:shd w:fill="DCEAF3"/>
            <w:tcMar>
              <w:top w:w="100" w:type="dxa"/>
              <w:start w:w="100" w:type="dxa"/>
              <w:bottom w:w="100" w:type="dxa"/>
              <w:end w:w="100" w:type="dxa"/>
            </w:tcMar>
          </w:tcPr>
          <w:p>
            <w:r>
              <w:rPr>
                <w:b/>
                <w:sz w:val="18"/>
              </w:rPr>
              <w:t>6. Explication</w:t>
            </w:r>
          </w:p>
        </w:tc>
        <w:tc>
          <w:tcPr>
            <w:tcW w:type="dxa" w:w="5100"/>
            <w:tcMar>
              <w:top w:w="100" w:type="dxa"/>
              <w:start w:w="100" w:type="dxa"/>
              <w:bottom w:w="100" w:type="dxa"/>
              <w:end w:w="100" w:type="dxa"/>
            </w:tcMar>
          </w:tcPr>
          <w:p>
            <w:r>
              <w:rPr>
                <w:sz w:val="18"/>
              </w:rPr>
              <w:t>IA générative limitée aux éléments extraits et aux sources retrouvées</w:t>
            </w:r>
          </w:p>
        </w:tc>
      </w:tr>
      <w:tr>
        <w:tc>
          <w:tcPr>
            <w:tcW w:type="dxa" w:w="5100"/>
            <w:shd w:fill="DCEAF3"/>
            <w:tcMar>
              <w:top w:w="100" w:type="dxa"/>
              <w:start w:w="100" w:type="dxa"/>
              <w:bottom w:w="100" w:type="dxa"/>
              <w:end w:w="100" w:type="dxa"/>
            </w:tcMar>
          </w:tcPr>
          <w:p>
            <w:r>
              <w:rPr>
                <w:b/>
                <w:sz w:val="18"/>
              </w:rPr>
              <w:t>7. Preuve</w:t>
            </w:r>
          </w:p>
        </w:tc>
        <w:tc>
          <w:tcPr>
            <w:tcW w:type="dxa" w:w="5100"/>
            <w:tcMar>
              <w:top w:w="100" w:type="dxa"/>
              <w:start w:w="100" w:type="dxa"/>
              <w:bottom w:w="100" w:type="dxa"/>
              <w:end w:w="100" w:type="dxa"/>
            </w:tcMar>
          </w:tcPr>
          <w:p>
            <w:r>
              <w:rPr>
                <w:sz w:val="18"/>
              </w:rPr>
              <w:t>Liens, pages, extraits, provenance et journal de vérification</w:t>
            </w:r>
          </w:p>
        </w:tc>
      </w:tr>
      <w:tr>
        <w:tc>
          <w:tcPr>
            <w:tcW w:type="dxa" w:w="5100"/>
            <w:shd w:fill="DCEAF3"/>
            <w:tcMar>
              <w:top w:w="100" w:type="dxa"/>
              <w:start w:w="100" w:type="dxa"/>
              <w:bottom w:w="100" w:type="dxa"/>
              <w:end w:w="100" w:type="dxa"/>
            </w:tcMar>
          </w:tcPr>
          <w:p>
            <w:r>
              <w:rPr>
                <w:b/>
                <w:sz w:val="18"/>
              </w:rPr>
              <w:t>8. Interface</w:t>
            </w:r>
          </w:p>
        </w:tc>
        <w:tc>
          <w:tcPr>
            <w:tcW w:type="dxa" w:w="5100"/>
            <w:tcMar>
              <w:top w:w="100" w:type="dxa"/>
              <w:start w:w="100" w:type="dxa"/>
              <w:bottom w:w="100" w:type="dxa"/>
              <w:end w:w="100" w:type="dxa"/>
            </w:tcMar>
          </w:tcPr>
          <w:p>
            <w:r>
              <w:rPr>
                <w:sz w:val="18"/>
              </w:rPr>
              <w:t>Tableau des divergences, filtres et graphe des relations</w:t>
            </w:r>
          </w:p>
        </w:tc>
      </w:tr>
    </w:tbl>
    <w:p>
      <w:r>
        <w:t>Pistes technologiques possibles : Python pour l’extraction et les contrôles, PostgreSQL pour les données structurées, un moteur de recherche plein texte ou vectoriel pour retrouver les passages, et Streamlit ou une application web légère pour la démonstration. Le choix final doit dépendre du temps disponible, des compétences de l’équipe et des sources effectivement accessibles.</w:t>
      </w:r>
    </w:p>
    <w:p>
      <w:pPr>
        <w:pStyle w:val="Heading1"/>
      </w:pPr>
      <w:r>
        <w:t>9. Limites et précautions</w:t>
      </w:r>
    </w:p>
    <w:p>
      <w:pPr>
        <w:pStyle w:val="ListBullet"/>
      </w:pPr>
      <w:r>
        <w:t>Une divergence n’est pas automatiquement une erreur : il faut comparer les définitions et les périmètres.</w:t>
      </w:r>
    </w:p>
    <w:p>
      <w:pPr>
        <w:pStyle w:val="ListBullet"/>
      </w:pPr>
      <w:r>
        <w:t>L’OCR peut mal lire des tableaux scannés ; les valeurs critiques doivent être contrôlées.</w:t>
      </w:r>
    </w:p>
    <w:p>
      <w:pPr>
        <w:pStyle w:val="ListBullet"/>
      </w:pPr>
      <w:r>
        <w:t>Les documents publics peuvent eux-mêmes contenir des erreurs ou des révisions.</w:t>
      </w:r>
    </w:p>
    <w:p>
      <w:pPr>
        <w:pStyle w:val="ListBullet"/>
      </w:pPr>
      <w:r>
        <w:t>Le niveau de confiance doit être expliqué et ne doit pas remplacer une validation humaine.</w:t>
      </w:r>
    </w:p>
    <w:p>
      <w:pPr>
        <w:pStyle w:val="ListBullet"/>
      </w:pPr>
      <w:r>
        <w:t>Le système ne doit pas inventer de chiffres, de citations ou de pages ; une preuve absente doit être signalée comme telle.</w:t>
      </w:r>
    </w:p>
    <w:p>
      <w:pPr>
        <w:pStyle w:val="ListBullet"/>
      </w:pPr>
      <w:r>
        <w:t>Les droits d’accès, licences et conditions de réutilisation des documents doivent être respectés.</w:t>
      </w:r>
    </w:p>
    <w:p>
      <w:pPr>
        <w:pStyle w:val="Heading1"/>
      </w:pPr>
      <w:r>
        <w:t>10. Sources et liens utiles</w:t>
      </w:r>
    </w:p>
    <w:p>
      <w:pPr>
        <w:pStyle w:val="ListBullet"/>
      </w:pPr>
      <w:hyperlink r:id="rId11">
        <w:r>
          <w:rPr>
            <w:color w:val="0563C1"/>
            <w:u w:val="single"/>
          </w:rPr>
          <w:t>Hackathon L’Aube IA — page officielle</w:t>
        </w:r>
      </w:hyperlink>
      <w:r>
        <w:rPr>
          <w:sz w:val="17"/>
        </w:rPr>
        <w:t xml:space="preserve"> — https://beninaicommunity.com/aubeia_africa/</w:t>
      </w:r>
    </w:p>
    <w:p>
      <w:pPr>
        <w:pStyle w:val="ListBullet"/>
      </w:pPr>
      <w:hyperlink r:id="rId12">
        <w:r>
          <w:rPr>
            <w:color w:val="0563C1"/>
            <w:u w:val="single"/>
          </w:rPr>
          <w:t>Formulaire officiel de candidature</w:t>
        </w:r>
      </w:hyperlink>
      <w:r>
        <w:rPr>
          <w:sz w:val="17"/>
        </w:rPr>
        <w:t xml:space="preserve"> — https://beninaicommunity.com/aubeia_africa/hackathon</w:t>
      </w:r>
    </w:p>
    <w:p>
      <w:pPr>
        <w:pStyle w:val="ListBullet"/>
      </w:pPr>
      <w:hyperlink r:id="rId13">
        <w:r>
          <w:rPr>
            <w:color w:val="0563C1"/>
            <w:u w:val="single"/>
          </w:rPr>
          <w:t>OCDE — AI governance in Africa (2026)</w:t>
        </w:r>
      </w:hyperlink>
      <w:r>
        <w:rPr>
          <w:sz w:val="17"/>
        </w:rPr>
        <w:t xml:space="preserve"> — https://www.oecd.org/en/publications/oecd-artificial-intelligence-case-studies_c517fcf5-en/ai-governance-in-africa_1ff55135-en.html</w:t>
      </w:r>
    </w:p>
    <w:p>
      <w:pPr>
        <w:pStyle w:val="ListBullet"/>
      </w:pPr>
      <w:hyperlink r:id="rId14">
        <w:r>
          <w:rPr>
            <w:color w:val="0563C1"/>
            <w:u w:val="single"/>
          </w:rPr>
          <w:t>Banque africaine de développement — Africa Information Highway</w:t>
        </w:r>
      </w:hyperlink>
      <w:r>
        <w:rPr>
          <w:sz w:val="17"/>
        </w:rPr>
        <w:t xml:space="preserve"> — https://www.afdb.org/en/topics-and-sectors/initiatives-partnerships/africa-information-highway</w:t>
      </w:r>
    </w:p>
    <w:p>
      <w:pPr>
        <w:pStyle w:val="ListBullet"/>
      </w:pPr>
      <w:hyperlink r:id="rId15">
        <w:r>
          <w:rPr>
            <w:color w:val="0563C1"/>
            <w:u w:val="single"/>
          </w:rPr>
          <w:t>BAD — formation SDMX et Open Data Platform 2.0 (2025)</w:t>
        </w:r>
      </w:hyperlink>
      <w:r>
        <w:rPr>
          <w:sz w:val="17"/>
        </w:rPr>
        <w:t xml:space="preserve"> — https://www.afdb.org/en/news-and-events/african-development-bank-and-partners-drive-data-transformation-africa-sdmx-and-open-data-platform-20-training-86033</w:t>
      </w:r>
    </w:p>
    <w:p>
      <w:pPr>
        <w:pStyle w:val="ListBullet"/>
      </w:pPr>
      <w:hyperlink r:id="rId16">
        <w:r>
          <w:rPr>
            <w:color w:val="0563C1"/>
            <w:u w:val="single"/>
          </w:rPr>
          <w:t>Nations Unies — National Quality Assurance Framework</w:t>
        </w:r>
      </w:hyperlink>
      <w:r>
        <w:rPr>
          <w:sz w:val="17"/>
        </w:rPr>
        <w:t xml:space="preserve"> — https://unstats.un.org/unsd/methodology/dataquality/</w:t>
      </w:r>
    </w:p>
    <w:p>
      <w:pPr>
        <w:pStyle w:val="ListBullet"/>
      </w:pPr>
      <w:hyperlink r:id="rId17">
        <w:r>
          <w:rPr>
            <w:color w:val="0563C1"/>
            <w:u w:val="single"/>
          </w:rPr>
          <w:t>INSEED Togo — site institutionnel</w:t>
        </w:r>
      </w:hyperlink>
      <w:r>
        <w:rPr>
          <w:sz w:val="17"/>
        </w:rPr>
        <w:t xml:space="preserve"> — https://inseed.tg/</w:t>
      </w:r>
    </w:p>
    <w:p>
      <w:pPr>
        <w:pStyle w:val="ListBullet"/>
      </w:pPr>
      <w:hyperlink r:id="rId18">
        <w:r>
          <w:rPr>
            <w:color w:val="0563C1"/>
            <w:u w:val="single"/>
          </w:rPr>
          <w:t>DataYetu — initiative de données</w:t>
        </w:r>
      </w:hyperlink>
      <w:r>
        <w:rPr>
          <w:sz w:val="17"/>
        </w:rPr>
        <w:t xml:space="preserve"> — https://datayetu.com/</w:t>
      </w:r>
    </w:p>
    <w:p>
      <w:pPr>
        <w:pStyle w:val="ListBullet"/>
      </w:pPr>
      <w:hyperlink r:id="rId19">
        <w:r>
          <w:rPr>
            <w:color w:val="0563C1"/>
            <w:u w:val="single"/>
          </w:rPr>
          <w:t>DataSky — initiative de données</w:t>
        </w:r>
      </w:hyperlink>
      <w:r>
        <w:rPr>
          <w:sz w:val="17"/>
        </w:rPr>
        <w:t xml:space="preserve"> — https://datasky.org/</w:t>
      </w:r>
    </w:p>
    <w:p>
      <w:pPr>
        <w:pStyle w:val="ListBullet"/>
      </w:pPr>
      <w:hyperlink r:id="rId20">
        <w:r>
          <w:rPr>
            <w:color w:val="0563C1"/>
            <w:u w:val="single"/>
          </w:rPr>
          <w:t>UbuntuFabric — initiative de données / infrastructure</w:t>
        </w:r>
      </w:hyperlink>
      <w:r>
        <w:rPr>
          <w:sz w:val="17"/>
        </w:rPr>
        <w:t xml:space="preserve"> — https://ubuntufabric.org/</w:t>
      </w:r>
    </w:p>
    <w:p>
      <w:pPr>
        <w:pStyle w:val="Heading1"/>
      </w:pPr>
      <w:r>
        <w:t>11. Formulation courte pour présenter le projet</w:t>
      </w:r>
    </w:p>
    <w:p>
      <w:r>
        <w:rPr>
          <w:b/>
        </w:rPr>
        <w:t xml:space="preserve">« DataWitness Africa aide à vérifier les chiffres avant qu’ils ne deviennent des décisions. </w:t>
      </w:r>
      <w:r>
        <w:t>En croisant des rapports et des données publiques, notre solution repère les indicateurs qui divergent, vérifie si les comparaisons sont valides et permet de remonter à la source et au contexte. Notre objectif n’est pas d’ajouter un chatbot de plus, mais de rendre les données utilisées par les citoyens, les institutions et les systèmes d’IA plus vérifiables et plus fiables. »</w:t>
      </w:r>
    </w:p>
    <w:p>
      <w:pPr>
        <w:pStyle w:val="Heading1"/>
      </w:pPr>
      <w:r>
        <w:t>12. Équipe et rôles à compléter</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194669"/>
          </w:tcPr>
          <w:p>
            <w:r>
              <w:rPr>
                <w:b/>
                <w:color w:val="FFFFFF"/>
              </w:rPr>
              <w:t>Membre</w:t>
            </w:r>
          </w:p>
        </w:tc>
        <w:tc>
          <w:tcPr>
            <w:tcW w:type="dxa" w:w="3400"/>
            <w:shd w:fill="194669"/>
          </w:tcPr>
          <w:p>
            <w:r>
              <w:rPr>
                <w:b/>
                <w:color w:val="FFFFFF"/>
              </w:rPr>
              <w:t>Rôle envisagé</w:t>
            </w:r>
          </w:p>
        </w:tc>
        <w:tc>
          <w:tcPr>
            <w:tcW w:type="dxa" w:w="3400"/>
            <w:shd w:fill="194669"/>
          </w:tcPr>
          <w:p>
            <w:r>
              <w:rPr>
                <w:b/>
                <w:color w:val="FFFFFF"/>
              </w:rPr>
              <w:t>À renseigner / confirmer</w:t>
            </w:r>
          </w:p>
        </w:tc>
      </w:tr>
      <w:tr>
        <w:tc>
          <w:tcPr>
            <w:tcW w:type="dxa" w:w="3400"/>
            <w:tcMar>
              <w:top w:w="100" w:type="dxa"/>
              <w:start w:w="100" w:type="dxa"/>
              <w:bottom w:w="100" w:type="dxa"/>
              <w:end w:w="100" w:type="dxa"/>
            </w:tcMar>
          </w:tcPr>
          <w:p>
            <w:r>
              <w:rPr>
                <w:sz w:val="17"/>
              </w:rPr>
              <w:t>DJERADE GOLBE Parfait</w:t>
            </w:r>
          </w:p>
        </w:tc>
        <w:tc>
          <w:tcPr>
            <w:tcW w:type="dxa" w:w="3400"/>
            <w:tcMar>
              <w:top w:w="100" w:type="dxa"/>
              <w:start w:w="100" w:type="dxa"/>
              <w:bottom w:w="100" w:type="dxa"/>
              <w:end w:w="100" w:type="dxa"/>
            </w:tcMar>
          </w:tcPr>
          <w:p>
            <w:r>
              <w:rPr>
                <w:sz w:val="17"/>
              </w:rPr>
              <w:t>À définir</w:t>
            </w:r>
          </w:p>
        </w:tc>
        <w:tc>
          <w:tcPr>
            <w:tcW w:type="dxa" w:w="3400"/>
            <w:tcMar>
              <w:top w:w="100" w:type="dxa"/>
              <w:start w:w="100" w:type="dxa"/>
              <w:bottom w:w="100" w:type="dxa"/>
              <w:end w:w="100" w:type="dxa"/>
            </w:tcMar>
          </w:tcPr>
          <w:p>
            <w:r>
              <w:rPr>
                <w:sz w:val="17"/>
              </w:rPr>
              <w:t>Compétences, disponibilité, responsabilité</w:t>
            </w:r>
          </w:p>
        </w:tc>
      </w:tr>
      <w:tr>
        <w:tc>
          <w:tcPr>
            <w:tcW w:type="dxa" w:w="3400"/>
            <w:tcMar>
              <w:top w:w="100" w:type="dxa"/>
              <w:start w:w="100" w:type="dxa"/>
              <w:bottom w:w="100" w:type="dxa"/>
              <w:end w:w="100" w:type="dxa"/>
            </w:tcMar>
          </w:tcPr>
          <w:p>
            <w:r>
              <w:rPr>
                <w:sz w:val="17"/>
              </w:rPr>
              <w:t>KOMOSSI Sosso</w:t>
            </w:r>
          </w:p>
        </w:tc>
        <w:tc>
          <w:tcPr>
            <w:tcW w:type="dxa" w:w="3400"/>
            <w:tcMar>
              <w:top w:w="100" w:type="dxa"/>
              <w:start w:w="100" w:type="dxa"/>
              <w:bottom w:w="100" w:type="dxa"/>
              <w:end w:w="100" w:type="dxa"/>
            </w:tcMar>
          </w:tcPr>
          <w:p>
            <w:r>
              <w:rPr>
                <w:sz w:val="17"/>
              </w:rPr>
              <w:t>À définir</w:t>
            </w:r>
          </w:p>
        </w:tc>
        <w:tc>
          <w:tcPr>
            <w:tcW w:type="dxa" w:w="3400"/>
            <w:tcMar>
              <w:top w:w="100" w:type="dxa"/>
              <w:start w:w="100" w:type="dxa"/>
              <w:bottom w:w="100" w:type="dxa"/>
              <w:end w:w="100" w:type="dxa"/>
            </w:tcMar>
          </w:tcPr>
          <w:p>
            <w:r>
              <w:rPr>
                <w:sz w:val="17"/>
              </w:rPr>
              <w:t>Compétences, disponibilité, responsabilité</w:t>
            </w:r>
          </w:p>
        </w:tc>
      </w:tr>
      <w:tr>
        <w:tc>
          <w:tcPr>
            <w:tcW w:type="dxa" w:w="3400"/>
            <w:tcMar>
              <w:top w:w="100" w:type="dxa"/>
              <w:start w:w="100" w:type="dxa"/>
              <w:bottom w:w="100" w:type="dxa"/>
              <w:end w:w="100" w:type="dxa"/>
            </w:tcMar>
          </w:tcPr>
          <w:p>
            <w:r>
              <w:rPr>
                <w:sz w:val="17"/>
              </w:rPr>
              <w:t>YENDONGOU Damtotimais</w:t>
            </w:r>
          </w:p>
        </w:tc>
        <w:tc>
          <w:tcPr>
            <w:tcW w:type="dxa" w:w="3400"/>
            <w:tcMar>
              <w:top w:w="100" w:type="dxa"/>
              <w:start w:w="100" w:type="dxa"/>
              <w:bottom w:w="100" w:type="dxa"/>
              <w:end w:w="100" w:type="dxa"/>
            </w:tcMar>
          </w:tcPr>
          <w:p>
            <w:r>
              <w:rPr>
                <w:sz w:val="17"/>
              </w:rPr>
              <w:t>À définir</w:t>
            </w:r>
          </w:p>
        </w:tc>
        <w:tc>
          <w:tcPr>
            <w:tcW w:type="dxa" w:w="3400"/>
            <w:tcMar>
              <w:top w:w="100" w:type="dxa"/>
              <w:start w:w="100" w:type="dxa"/>
              <w:bottom w:w="100" w:type="dxa"/>
              <w:end w:w="100" w:type="dxa"/>
            </w:tcMar>
          </w:tcPr>
          <w:p>
            <w:r>
              <w:rPr>
                <w:sz w:val="17"/>
              </w:rPr>
              <w:t>Compétences, disponibilité, responsabilité</w:t>
            </w:r>
          </w:p>
        </w:tc>
      </w:tr>
    </w:tbl>
    <w:sectPr w:rsidR="00FC693F" w:rsidRPr="0006063C" w:rsidSect="00034616">
      <w:headerReference w:type="default" r:id="rId9"/>
      <w:footerReference w:type="default" r:id="rId10"/>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DATAWITNESS AFRICA • Dossier de travail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E78"/>
        <w:sz w:val="16"/>
      </w:rPr>
      <w:t>DOSSIER DE PROJET • HACKATHON TECHNOLOGIE &amp; INTELLIGENCE ARTIFICIELLE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466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5B7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eninaicommunity.com/aubeia_africa/" TargetMode="External"/><Relationship Id="rId12" Type="http://schemas.openxmlformats.org/officeDocument/2006/relationships/hyperlink" Target="https://beninaicommunity.com/aubeia_africa/hackathon" TargetMode="External"/><Relationship Id="rId13" Type="http://schemas.openxmlformats.org/officeDocument/2006/relationships/hyperlink" Target="https://www.oecd.org/en/publications/oecd-artificial-intelligence-case-studies_c517fcf5-en/ai-governance-in-africa_1ff55135-en.html" TargetMode="External"/><Relationship Id="rId14" Type="http://schemas.openxmlformats.org/officeDocument/2006/relationships/hyperlink" Target="https://www.afdb.org/en/topics-and-sectors/initiatives-partnerships/africa-information-highway" TargetMode="External"/><Relationship Id="rId15" Type="http://schemas.openxmlformats.org/officeDocument/2006/relationships/hyperlink" Target="https://www.afdb.org/en/news-and-events/african-development-bank-and-partners-drive-data-transformation-africa-sdmx-and-open-data-platform-20-training-86033" TargetMode="External"/><Relationship Id="rId16" Type="http://schemas.openxmlformats.org/officeDocument/2006/relationships/hyperlink" Target="https://unstats.un.org/unsd/methodology/dataquality/" TargetMode="External"/><Relationship Id="rId17" Type="http://schemas.openxmlformats.org/officeDocument/2006/relationships/hyperlink" Target="https://inseed.tg/" TargetMode="External"/><Relationship Id="rId18" Type="http://schemas.openxmlformats.org/officeDocument/2006/relationships/hyperlink" Target="https://datayetu.com/" TargetMode="External"/><Relationship Id="rId19" Type="http://schemas.openxmlformats.org/officeDocument/2006/relationships/hyperlink" Target="https://datasky.org/" TargetMode="External"/><Relationship Id="rId20" Type="http://schemas.openxmlformats.org/officeDocument/2006/relationships/hyperlink" Target="https://ubuntufabric.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