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SafeSteps Core Logic Testing and Version Control Report</w:t>
      </w:r>
    </w:p>
    <w:p>
      <w:pPr>
        <w:jc w:val="center"/>
      </w:pPr>
      <w:r>
        <w:t>Desta Jomma</w:t>
        <w:br/>
        <w:t>University of the People</w:t>
        <w:br/>
        <w:t>MSIT 5910-01 · MSIT Capstone Project</w:t>
        <w:br/>
        <w:t>October 2026</w:t>
      </w:r>
    </w:p>
    <w:p>
      <w:r>
        <w:t>This report documents the working SafeSteps prototype, its core logic and test evidence, and the Git practices used to manage project milestones. The implementation demonstrates the project objective of making cybersecurity awareness practice measurable and safe for a small-business setting. It also identifies the limits of the current prototype so that test results are interpreted within their scope.</w:t>
      </w:r>
    </w:p>
    <w:p>
      <w:pPr>
        <w:pStyle w:val="Heading1"/>
      </w:pPr>
      <w:r>
        <w:t>Part A: Core Logic Implementation and Output Validation</w:t>
      </w:r>
    </w:p>
    <w:p>
      <w:r>
        <w:t>SafeSteps is a local prototype for small businesses to teach employees how to recognize suspicious email, practice safe reporting, and let managers review privacy-conscious cohort summaries. Its objective is to turn awareness into a short learning cycle: read a lesson, answer questions, practice on a synthetic message, and receive feedback. Employee, manager, and administrator views support that objective through persistent SQLite records. The exercise sends no email, uses no active links, and never asks for or stores credentials. This aligns the implementation with the project’s focus on learning, data minimization, and role-based access control (Merritt et al., 2024; OWASP Foundation, 2025).</w:t>
      </w:r>
    </w:p>
    <w:p>
      <w:r>
        <w:t>The core assessment algorithm compares each selected option with the answer key and returns the number correct. Before scoring, it rejects an incomplete response or any option outside the three permitted choices. The web route stores only the resulting score and total, then provides feedback; it does not persist the learner’s answer text. Related validation helpers restrict scenario scheduling to the allowlist and simulation events to ‘reported’ or ‘clicked.’ These boundaries support the system objective by making practice measurable while preventing arbitrary campaign types or credential-like event labels from entering the database. Passwords are transformed with salted PBKDF2-HMAC-SHA256 and checked with constant-time comparison. Database initialization seeds synthetic demo accounts and is safe to repeat without duplicating them.</w:t>
      </w:r>
    </w:p>
    <w:p>
      <w:r>
        <w:t>The implementation is a modular monolith: identity and policy, learning, assessment, simulation events, reporting, and audit records are separate logical responsibilities in one small Python application. This keeps setup simple while preserving module boundaries for maintenance and testing. The screenshots pair actual scoring and validation code with the test-run output. Concretely, score_answers([1, 0, 2]) returns 3, while [0, 2, 1] returns 0. An incomplete response such as [1, 0] or an out-of-range answer such as [1, 0, 3] raises ValueError before the handler writes an assessment. The browser workflow then displays a saved score to the learner, while managers see cohort totals rather than individual results. This links the project objective to observable behavior and testable requirements (Summers, 2020).</w:t>
      </w:r>
    </w:p>
    <w:p>
      <w:r>
        <w:t>One implementation challenge was balancing useful demonstration data with privacy. A small cohort can make individual performance identifiable, so the manager summary requires at least five synthetic participants and displays totals rather than individual results. A second challenge was making the scoring and validation decisions independently verifiable: the initial request-handling code combined parsing, validation, and database writes in one route. I extracted small helpers for scoring and allowlist checks, then added tests around valid and invalid inputs. This improved clarity and makes later changes less likely to affect unrelated request-handling behavior. The prototype remains an academic local demonstration, not a production service; HTTPS, deployment-managed secrets, multifactor authentication, retention controls, and security review remain necessary before production use.</w:t>
      </w:r>
    </w:p>
    <w:p>
      <w:pPr>
        <w:jc w:val="center"/>
      </w:pPr>
      <w:r>
        <w:drawing>
          <wp:inline xmlns:a="http://schemas.openxmlformats.org/drawingml/2006/main" xmlns:pic="http://schemas.openxmlformats.org/drawingml/2006/picture">
            <wp:extent cx="5806440" cy="1884860"/>
            <wp:docPr id="1" name="Picture 1"/>
            <wp:cNvGraphicFramePr>
              <a:graphicFrameLocks noChangeAspect="1"/>
            </wp:cNvGraphicFramePr>
            <a:graphic>
              <a:graphicData uri="http://schemas.openxmlformats.org/drawingml/2006/picture">
                <pic:pic>
                  <pic:nvPicPr>
                    <pic:cNvPr id="0" name="code_evidence.png"/>
                    <pic:cNvPicPr/>
                  </pic:nvPicPr>
                  <pic:blipFill>
                    <a:blip r:embed="rId9"/>
                    <a:stretch>
                      <a:fillRect/>
                    </a:stretch>
                  </pic:blipFill>
                  <pic:spPr>
                    <a:xfrm>
                      <a:off x="0" y="0"/>
                      <a:ext cx="5806440" cy="1884860"/>
                    </a:xfrm>
                    <a:prstGeom prst="rect"/>
                  </pic:spPr>
                </pic:pic>
              </a:graphicData>
            </a:graphic>
          </wp:inline>
        </w:drawing>
      </w:r>
    </w:p>
    <w:p>
      <w:pPr>
        <w:spacing w:line="240" w:lineRule="auto"/>
        <w:jc w:val="center"/>
      </w:pPr>
      <w:r>
        <w:t>Figure 1. Assessment scoring and input validation from the implemented application.</w:t>
      </w:r>
    </w:p>
    <w:p>
      <w:pPr>
        <w:jc w:val="center"/>
      </w:pPr>
      <w:r>
        <w:drawing>
          <wp:inline xmlns:a="http://schemas.openxmlformats.org/drawingml/2006/main" xmlns:pic="http://schemas.openxmlformats.org/drawingml/2006/picture">
            <wp:extent cx="5806440" cy="2489731"/>
            <wp:docPr id="2" name="Picture 2"/>
            <wp:cNvGraphicFramePr>
              <a:graphicFrameLocks noChangeAspect="1"/>
            </wp:cNvGraphicFramePr>
            <a:graphic>
              <a:graphicData uri="http://schemas.openxmlformats.org/drawingml/2006/picture">
                <pic:pic>
                  <pic:nvPicPr>
                    <pic:cNvPr id="0" name="test_evidence.png"/>
                    <pic:cNvPicPr/>
                  </pic:nvPicPr>
                  <pic:blipFill>
                    <a:blip r:embed="rId10"/>
                    <a:stretch>
                      <a:fillRect/>
                    </a:stretch>
                  </pic:blipFill>
                  <pic:spPr>
                    <a:xfrm>
                      <a:off x="0" y="0"/>
                      <a:ext cx="5806440" cy="2489731"/>
                    </a:xfrm>
                    <a:prstGeom prst="rect"/>
                  </pic:spPr>
                </pic:pic>
              </a:graphicData>
            </a:graphic>
          </wp:inline>
        </w:drawing>
      </w:r>
    </w:p>
    <w:p>
      <w:pPr>
        <w:spacing w:line="240" w:lineRule="auto"/>
        <w:jc w:val="center"/>
      </w:pPr>
      <w:r>
        <w:t>Figure 2. Actual unittest output showing all eight unit tests passing.</w:t>
      </w:r>
    </w:p>
    <w:p>
      <w:pPr>
        <w:pStyle w:val="Heading1"/>
      </w:pPr>
      <w:r>
        <w:t>Part B: Unit Testing of Functional Modules</w:t>
      </w:r>
    </w:p>
    <w:p>
      <w:r>
        <w:t>I used Python’s built-in unittest framework to run eight unit tests. This combines white-box unit testing, because the tests call named helpers and initialize the database directly, with black-box assertions that check meaningful inputs and outputs without requiring callers to know implementation details. The suite covers successful password verification, wrong and malformed passwords, correct and incorrect assessment scoring, invalid answer boundaries, allowlisted and unknown scenarios, permitted and disallowed event labels, and repeatable database seeding. The captured console output shows eight passing tests and an overall “OK” result. The database case uses a temporary file so it cannot alter the demonstration database.</w:t>
      </w:r>
    </w:p>
    <w:p>
      <w:r>
        <w:t>Testing exposed the absence of a test suite and showed that invalid assessment choices needed one reusable rule. I extracted score_answers, which rejects missing or out-of-range answers, and updated the HTTP handler to return a client error without inserting an assessment. The database test also confirms that running initialization twice does not duplicate seeded users. All eight tests passed in the final recorded run. These results support the covered module contracts, but they do not establish end-to-end usability, production security, or load resilience. The next high-value tests are integration checks for HTTP sessions, server-side role denial, CSRF handling, and report aggregation using an isolated database.</w:t>
      </w:r>
    </w:p>
    <w:p>
      <w:r>
        <w:t>Unit tests can be grouped by purpose. Positive or happy-path tests verify expected behavior for valid inputs. Negative or boundary tests check invalid, missing, extreme, or unauthorized inputs. State and persistence tests confirm that records are created consistently and repeat operations do not corrupt or duplicate state. White-box tests use knowledge of internal units and branches; black-box tests assess behavior through defined inputs and outputs without depending on internal structure. Regression tests preserve previously fixed behavior when code changes. Unit testing improves reliability by finding defects near their source, documents module contracts through executable examples, and allows developers to change one component with less risk to others. Small, isolated modules also make failures easier to diagnose and encourage development in parallel, while integration and acceptance tests remain necessary to verify that modules work together (Summers, 2020).</w:t>
      </w:r>
    </w:p>
    <w:p>
      <w:pPr>
        <w:pStyle w:val="Heading1"/>
      </w:pPr>
      <w:r>
        <w:t>Part C: Version Control Management</w:t>
      </w:r>
    </w:p>
    <w:p>
      <w:r>
        <w:t xml:space="preserve">The project repository is </w:t>
      </w:r>
      <w:hyperlink r:id="rId11">
        <w:r>
          <w:rPr>
            <w:color w:val="0563C1"/>
            <w:u w:val="single"/>
          </w:rPr>
          <w:t>Cybersecurity Awareness and Phishing Simulation System</w:t>
        </w:r>
      </w:hyperlink>
      <w:r>
        <w:t>. The adopted GitFlow-style model uses main for stable, reviewed milestones, development for integration, and short-lived feature branches for focused changes. A feature branch is reviewed and tested before merging to development; a verified milestone is promoted to main. This separation makes review scope clearer and gives the instructor a stable branch to evaluate. The remote repository already contains main and development. The latest implementation and report commits are in the local checkout and still need to be published before the instructor can inspect those changes online.</w:t>
      </w:r>
    </w:p>
    <w:p>
      <w:r>
        <w:t>Three annotated Git tags now identify the local milestones: milestone-initial-development points to the documentation baseline; milestone-testing-complete points to the implementation and passing unit-test milestone; and v1.0.0 identifies the completed report and implementation candidate. Annotated tags record both a stable commit and a short explanation. The corresponding GitHub release should use v1.0.0, summarize the included learning, assessment, safe-simulation, and testing work, and link the source snapshot. Once pushed, a reviewer can compare each milestone and return to the exact version used for assessment. The main branch has been fast-forwarded locally to the completed candidate, and development contains the same reviewed commits. At this writing, the new commits and tags remain local, and the GitHub release page has not yet been created; publish and verify them before final submission.</w:t>
      </w:r>
    </w:p>
    <w:p>
      <w:r>
        <w:t>This workflow supports more than backup: it ties source code, tests, and documentation to a reviewable project history. Feature branches reduce interference between independent tasks; integration on development exposes conflicts before stable promotion. Annotated tags and releases make milestone monitoring easier because a reviewer can return to the exact source state used for a demonstration or evaluation. A disciplined submission check should confirm that main, development, all three tags, and the v1.0.0 release are visible at the repository link, then run the test suite from that release. Together, these practices support reproducibility, controlled change, and a clear handoff to the instructor.</w:t>
      </w:r>
    </w:p>
    <w:p>
      <w:pPr>
        <w:pStyle w:val="Heading1"/>
      </w:pPr>
      <w:r>
        <w:t>References</w:t>
      </w:r>
    </w:p>
    <w:p>
      <w:pPr>
        <w:spacing w:line="480" w:lineRule="auto"/>
        <w:ind w:left="720" w:hanging="720"/>
      </w:pPr>
      <w:r>
        <w:t xml:space="preserve">Cybersecurity and Infrastructure Security Agency. (n.d.). Small and medium-sized business resources. </w:t>
      </w:r>
      <w:hyperlink r:id="rId12">
        <w:r>
          <w:rPr>
            <w:color w:val="0563C1"/>
            <w:u w:val="single"/>
          </w:rPr>
          <w:t>https://www.cisa.gov/small-and-medium-sized-business-resources</w:t>
        </w:r>
      </w:hyperlink>
    </w:p>
    <w:p>
      <w:pPr>
        <w:spacing w:line="480" w:lineRule="auto"/>
        <w:ind w:left="720" w:hanging="720"/>
      </w:pPr>
      <w:r>
        <w:t xml:space="preserve">Merritt, M., Hansche, S., Ellis, B., Nethery Snyder, J., Sanchez-Cherry, K., &amp; Walden, D. (2024). Building a cybersecurity and privacy learning program (NIST Special Publication 800-50 Rev. 1). National Institute of Standards and Technology. </w:t>
      </w:r>
      <w:hyperlink r:id="rId13">
        <w:r>
          <w:rPr>
            <w:color w:val="0563C1"/>
            <w:u w:val="single"/>
          </w:rPr>
          <w:t>https://doi.org/10.6028/NIST.SP.800-50r1</w:t>
        </w:r>
      </w:hyperlink>
    </w:p>
    <w:p>
      <w:pPr>
        <w:spacing w:line="480" w:lineRule="auto"/>
        <w:ind w:left="720" w:hanging="720"/>
      </w:pPr>
      <w:r>
        <w:t xml:space="preserve">OWASP Foundation. (2025). OWASP Top 10. </w:t>
      </w:r>
      <w:hyperlink r:id="rId14">
        <w:r>
          <w:rPr>
            <w:color w:val="0563C1"/>
            <w:u w:val="single"/>
          </w:rPr>
          <w:t>https://owasp.org/Top10/</w:t>
        </w:r>
      </w:hyperlink>
    </w:p>
    <w:p>
      <w:pPr>
        <w:spacing w:line="480" w:lineRule="auto"/>
        <w:ind w:left="720" w:hanging="720"/>
      </w:pPr>
      <w:r>
        <w:t xml:space="preserve">Summers, B. L. (2020). Effective methods for software engineering. Auerbach Publications. </w:t>
      </w:r>
      <w:hyperlink r:id="rId15">
        <w:r>
          <w:rPr>
            <w:color w:val="0563C1"/>
            <w:u w:val="single"/>
          </w:rPr>
          <w:t>https://www.routledge.com/Effective-Methods-for-Software-Engineering/Summers/p/book/9781032474359</w:t>
        </w:r>
      </w:hyperlink>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Djgituo/cybersecurity-awareness-system" TargetMode="External"/><Relationship Id="rId12" Type="http://schemas.openxmlformats.org/officeDocument/2006/relationships/hyperlink" Target="https://www.cisa.gov/small-and-medium-sized-business-resources" TargetMode="External"/><Relationship Id="rId13" Type="http://schemas.openxmlformats.org/officeDocument/2006/relationships/hyperlink" Target="https://doi.org/10.6028/NIST.SP.800-50r1" TargetMode="External"/><Relationship Id="rId14" Type="http://schemas.openxmlformats.org/officeDocument/2006/relationships/hyperlink" Target="https://owasp.org/Top10/" TargetMode="External"/><Relationship Id="rId15" Type="http://schemas.openxmlformats.org/officeDocument/2006/relationships/hyperlink" Target="https://www.routledge.com/Effective-Methods-for-Software-Engineering/Summers/p/book/97810324743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SafeSteps Core Logic Testing and Version Control Report</dc:title>
  <dc:subject/>
  <dc:creator>Desta Jomma</dc:creator>
  <cp:keywords/>
  <dc:description>generated by python-docx</dc:description>
  <cp:lastModifiedBy/>
  <cp:revision>1</cp:revision>
  <dcterms:created xsi:type="dcterms:W3CDTF">2013-12-23T23:15:00Z</dcterms:created>
  <dcterms:modified xsi:type="dcterms:W3CDTF">2013-12-23T23:15:00Z</dcterms:modified>
  <cp:category/>
</cp:coreProperties>
</file>