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2000"/>
        <w:ind w:firstLine="0"/>
        <w:jc w:val="center"/>
      </w:pPr>
      <w:r>
        <w:rPr>
          <w:rFonts w:ascii="Times New Roman" w:hAnsi="Times New Roman" w:eastAsia="Times New Roman"/>
          <w:b/>
          <w:sz w:val="24"/>
        </w:rPr>
        <w:t>System Requirements, Architecture, and Version Control</w:t>
      </w:r>
    </w:p>
    <w:p>
      <w:pPr>
        <w:ind w:firstLine="0"/>
        <w:jc w:val="center"/>
      </w:pPr>
      <w:r>
        <w:t>Cybersecurity Awareness and Phishing Simulation System for Small Businesses</w:t>
      </w:r>
    </w:p>
    <w:p>
      <w:pPr>
        <w:ind w:firstLine="0"/>
        <w:jc w:val="center"/>
      </w:pPr>
      <w:r>
        <w:t>Desta Jomma</w:t>
      </w:r>
    </w:p>
    <w:p>
      <w:pPr>
        <w:ind w:firstLine="0"/>
        <w:jc w:val="center"/>
      </w:pPr>
      <w:r>
        <w:t>University of the People</w:t>
      </w:r>
    </w:p>
    <w:p>
      <w:pPr>
        <w:ind w:firstLine="0"/>
        <w:jc w:val="center"/>
      </w:pPr>
      <w:r>
        <w:t>MSIT 5910-01 - AY2027-T1</w:t>
      </w:r>
    </w:p>
    <w:p>
      <w:pPr>
        <w:ind w:firstLine="0"/>
        <w:jc w:val="center"/>
      </w:pPr>
      <w:r>
        <w:t>MSIT Capstone Project</w:t>
      </w:r>
    </w:p>
    <w:p>
      <w:pPr>
        <w:ind w:firstLine="0"/>
        <w:jc w:val="center"/>
      </w:pPr>
      <w:r>
        <w:t>September 2026</w:t>
      </w:r>
    </w:p>
    <w:p>
      <w:r>
        <w:br w:type="page"/>
      </w:r>
    </w:p>
    <w:p>
      <w:pPr>
        <w:pStyle w:val="Heading1"/>
        <w:spacing w:line="480" w:lineRule="auto" w:after="0"/>
      </w:pPr>
      <w:r>
        <w:t>System Architecture Blueprint and Module Design</w:t>
      </w:r>
    </w:p>
    <w:p>
      <w:pPr>
        <w:spacing w:line="480" w:lineRule="auto" w:after="0"/>
      </w:pPr>
      <w:r>
        <w:t>The proposed Cybersecurity Awareness and Phishing Simulation System gives a small business a structured way to assign security lessons, practice recognizing suspicious messages, and review learning outcomes. Its architecture separates user interaction, application services, identity and policy controls, and persistent data. This modular structure supports independent changes to training, assessment, simulation, and reporting while applying access controls consistently (Davies, 2024; Letaw, 2024).</w:t>
      </w:r>
    </w:p>
    <w:p>
      <w:pPr>
        <w:spacing w:line="480" w:lineRule="auto" w:after="0"/>
      </w:pPr>
      <w:r>
        <w:t>Employees use a learner portal to complete lessons, take assessments, and report simulated messages. Managers configure approved campaigns and view authorized team-level trends. Administrators manage accounts, roles, content, and system settings. Requests pass through an HTTPS web interface and API to authentication and server-side role checks. Application services exchange only required records with the data store. A controlled simulation relay is isolated from production email; it records delivery and interaction events but never collects real passwords or sensitive message content. Audit records capture privileged changes and security-relevant events.</w:t>
      </w:r>
    </w:p>
    <w:p>
      <w:pPr>
        <w:keepNext/>
        <w:spacing w:line="240" w:lineRule="auto"/>
        <w:ind w:firstLine="0"/>
      </w:pPr>
      <w:r>
        <w:rPr>
          <w:rFonts w:ascii="Times New Roman" w:hAnsi="Times New Roman" w:eastAsia="Times New Roman"/>
          <w:b/>
          <w:sz w:val="24"/>
        </w:rPr>
        <w:t>Figure 1</w:t>
      </w:r>
    </w:p>
    <w:p>
      <w:pPr>
        <w:keepNext/>
        <w:spacing w:line="240" w:lineRule="auto"/>
        <w:ind w:firstLine="0"/>
      </w:pPr>
      <w:r>
        <w:rPr>
          <w:rFonts w:ascii="Times New Roman" w:hAnsi="Times New Roman" w:eastAsia="Times New Roman"/>
          <w:i/>
          <w:sz w:val="24"/>
        </w:rPr>
        <w:t>Proposed logical system architecture</w:t>
      </w:r>
    </w:p>
    <w:p>
      <w:pPr>
        <w:spacing w:line="240" w:lineRule="auto"/>
        <w:ind w:firstLine="0"/>
        <w:jc w:val="center"/>
      </w:pPr>
      <w:r>
        <w:drawing>
          <wp:inline xmlns:a="http://schemas.openxmlformats.org/drawingml/2006/main" xmlns:pic="http://schemas.openxmlformats.org/drawingml/2006/picture">
            <wp:extent cx="5852160" cy="368686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852160" cy="3686861"/>
                    </a:xfrm>
                    <a:prstGeom prst="rect"/>
                  </pic:spPr>
                </pic:pic>
              </a:graphicData>
            </a:graphic>
          </wp:inline>
        </w:drawing>
      </w:r>
    </w:p>
    <w:p>
      <w:pPr>
        <w:spacing w:line="240" w:lineRule="auto"/>
        <w:ind w:firstLine="0"/>
      </w:pPr>
      <w:r>
        <w:rPr>
          <w:rFonts w:ascii="Times New Roman" w:hAnsi="Times New Roman" w:eastAsia="Times New Roman"/>
          <w:i/>
          <w:sz w:val="20"/>
        </w:rPr>
        <w:t xml:space="preserve">Note. </w:t>
      </w:r>
      <w:r>
        <w:rPr>
          <w:rFonts w:ascii="Times New Roman" w:hAnsi="Times New Roman" w:eastAsia="Times New Roman"/>
          <w:sz w:val="20"/>
        </w:rPr>
        <w:t>Live mail-provider integration is outside the academic prototype scope; simulated delivery remains isolated.</w:t>
      </w:r>
    </w:p>
    <w:p>
      <w:pPr>
        <w:spacing w:line="480" w:lineRule="auto" w:after="0"/>
      </w:pPr>
      <w:r>
        <w:t>The prototype uses a modular-monolith design: one deployable application with explicit service boundaries and shared persistence. This keeps deployment manageable while leaving interfaces testable. A distributed microservice design is not justified before workload or team-size evidence exists. Functional requirements describe observable behavior; nonfunctional requirements specify quality targets. Values below are proposed prototype acceptance criteria, not measured or production claims (Summers, 2020).</w:t>
      </w:r>
    </w:p>
    <w:p>
      <w:pPr>
        <w:keepNext/>
        <w:spacing w:line="240" w:lineRule="auto"/>
        <w:ind w:firstLine="0"/>
      </w:pPr>
      <w:r>
        <w:rPr>
          <w:rFonts w:ascii="Times New Roman" w:hAnsi="Times New Roman" w:eastAsia="Times New Roman"/>
          <w:b/>
          <w:i w:val="0"/>
          <w:sz w:val="24"/>
        </w:rPr>
        <w:t>Table 1</w:t>
      </w:r>
    </w:p>
    <w:p>
      <w:pPr>
        <w:keepNext/>
        <w:spacing w:line="240" w:lineRule="auto"/>
        <w:ind w:firstLine="0"/>
      </w:pPr>
      <w:r>
        <w:rPr>
          <w:rFonts w:ascii="Times New Roman" w:hAnsi="Times New Roman" w:eastAsia="Times New Roman"/>
          <w:b w:val="0"/>
          <w:i/>
          <w:sz w:val="24"/>
        </w:rPr>
        <w:t>Module inputs, outputs, and methods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2340"/>
        <w:gridCol w:w="2340"/>
        <w:gridCol w:w="2340"/>
        <w:gridCol w:w="2340"/>
      </w:tblGrid>
      <w:tr>
        <w:trPr>
          <w:tblHeader w:val="true"/>
        </w:trPr>
        <w:tc>
          <w:tcPr>
            <w:tcW w:type="dxa" w:w="1440"/>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Module</w:t>
            </w:r>
          </w:p>
        </w:tc>
        <w:tc>
          <w:tcPr>
            <w:tcW w:type="dxa" w:w="2448"/>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Inputs</w:t>
            </w:r>
          </w:p>
        </w:tc>
        <w:tc>
          <w:tcPr>
            <w:tcW w:type="dxa" w:w="2232"/>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Outputs</w:t>
            </w:r>
          </w:p>
        </w:tc>
        <w:tc>
          <w:tcPr>
            <w:tcW w:type="dxa" w:w="3096"/>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Method</w:t>
            </w:r>
          </w:p>
        </w:tc>
      </w:tr>
      <w:tr>
        <w:tc>
          <w:tcPr>
            <w:tcW w:type="dxa" w:w="144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Identity and access</w:t>
            </w:r>
          </w:p>
        </w:tc>
        <w:tc>
          <w:tcPr>
            <w:tcW w:type="dxa" w:w="244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Credentials, optional MFA, requested action</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Session, role, allow/deny result</w:t>
            </w:r>
          </w:p>
        </w:tc>
        <w:tc>
          <w:tcPr>
            <w:tcW w:type="dxa" w:w="309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Verify password hash; apply server-side role and ownership checks; expire sessions.</w:t>
            </w:r>
          </w:p>
        </w:tc>
      </w:tr>
      <w:tr>
        <w:tc>
          <w:tcPr>
            <w:tcW w:type="dxa" w:w="144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Learning and content</w:t>
            </w:r>
          </w:p>
        </w:tc>
        <w:tc>
          <w:tcPr>
            <w:tcW w:type="dxa" w:w="244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Approved lesson, assignment, learner ID</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Lesson view, completion, feedback</w:t>
            </w:r>
          </w:p>
        </w:tc>
        <w:tc>
          <w:tcPr>
            <w:tcW w:type="dxa" w:w="309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Use short accessible lessons; validate completion; version content.</w:t>
            </w:r>
          </w:p>
        </w:tc>
      </w:tr>
      <w:tr>
        <w:tc>
          <w:tcPr>
            <w:tcW w:type="dxa" w:w="144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Assessment</w:t>
            </w:r>
          </w:p>
        </w:tc>
        <w:tc>
          <w:tcPr>
            <w:tcW w:type="dxa" w:w="244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Question set, responses, course ID</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Score, topic gap, attempt record</w:t>
            </w:r>
          </w:p>
        </w:tc>
        <w:tc>
          <w:tcPr>
            <w:tcW w:type="dxa" w:w="309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Map questions to lesson goals; apply consistent scoring; use matched pre/post forms.</w:t>
            </w:r>
          </w:p>
        </w:tc>
      </w:tr>
      <w:tr>
        <w:tc>
          <w:tcPr>
            <w:tcW w:type="dxa" w:w="144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Simulation</w:t>
            </w:r>
          </w:p>
        </w:tc>
        <w:tc>
          <w:tcPr>
            <w:tcW w:type="dxa" w:w="244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Approved scenario, cohort, schedule</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Delivery, click/report event, feedback</w:t>
            </w:r>
          </w:p>
        </w:tc>
        <w:tc>
          <w:tcPr>
            <w:tcW w:type="dxa" w:w="309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Use sandbox and allowlisted templates; collect minimal event data; never collect credentials.</w:t>
            </w:r>
          </w:p>
        </w:tc>
      </w:tr>
      <w:tr>
        <w:tc>
          <w:tcPr>
            <w:tcW w:type="dxa" w:w="144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Reporting</w:t>
            </w:r>
          </w:p>
        </w:tc>
        <w:tc>
          <w:tcPr>
            <w:tcW w:type="dxa" w:w="244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Authorized learning and event records</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Learner feedback; cohort dashboard</w:t>
            </w:r>
          </w:p>
        </w:tc>
        <w:tc>
          <w:tcPr>
            <w:tcW w:type="dxa" w:w="309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Aggregate by time/topic; scope by role and cohort; suppress risky small groups.</w:t>
            </w:r>
          </w:p>
        </w:tc>
      </w:tr>
      <w:tr>
        <w:tc>
          <w:tcPr>
            <w:tcW w:type="dxa" w:w="144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Audit and data</w:t>
            </w:r>
          </w:p>
        </w:tc>
        <w:tc>
          <w:tcPr>
            <w:tcW w:type="dxa" w:w="244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Account, course, assessment, admin actions</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Persistent records and protected audit trail</w:t>
            </w:r>
          </w:p>
        </w:tc>
        <w:tc>
          <w:tcPr>
            <w:tcW w:type="dxa" w:w="309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Validate schemas; save outcomes consistently; restrict logs; apply retention and backup rules.</w:t>
            </w:r>
          </w:p>
        </w:tc>
      </w:tr>
    </w:tbl>
    <w:p>
      <w:pPr>
        <w:keepNext/>
        <w:spacing w:line="240" w:lineRule="auto"/>
        <w:ind w:firstLine="0"/>
      </w:pPr>
      <w:r>
        <w:rPr>
          <w:rFonts w:ascii="Times New Roman" w:hAnsi="Times New Roman" w:eastAsia="Times New Roman"/>
          <w:b/>
          <w:i w:val="0"/>
          <w:sz w:val="24"/>
        </w:rPr>
        <w:t>Table 2</w:t>
      </w:r>
    </w:p>
    <w:p>
      <w:pPr>
        <w:keepNext/>
        <w:spacing w:line="240" w:lineRule="auto"/>
        <w:ind w:firstLine="0"/>
      </w:pPr>
      <w:r>
        <w:rPr>
          <w:rFonts w:ascii="Times New Roman" w:hAnsi="Times New Roman" w:eastAsia="Times New Roman"/>
          <w:b w:val="0"/>
          <w:i/>
          <w:sz w:val="24"/>
        </w:rPr>
        <w:t>Functional requirements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4680"/>
        <w:gridCol w:w="4680"/>
      </w:tblGrid>
      <w:tr>
        <w:trPr>
          <w:tblHeader w:val="true"/>
        </w:trPr>
        <w:tc>
          <w:tcPr>
            <w:tcW w:type="dxa" w:w="1008"/>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ID</w:t>
            </w:r>
          </w:p>
        </w:tc>
        <w:tc>
          <w:tcPr>
            <w:tcW w:type="dxa" w:w="8208"/>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Requirement</w:t>
            </w:r>
          </w:p>
        </w:tc>
      </w:tr>
      <w:tr>
        <w:tc>
          <w:tcPr>
            <w:tcW w:type="dxa" w:w="10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FR1</w:t>
            </w:r>
          </w:p>
        </w:tc>
        <w:tc>
          <w:tcPr>
            <w:tcW w:type="dxa" w:w="82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Authenticate accounts and enforce employee, manager, and administrator permissions.</w:t>
            </w:r>
          </w:p>
        </w:tc>
      </w:tr>
      <w:tr>
        <w:tc>
          <w:tcPr>
            <w:tcW w:type="dxa" w:w="10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FR2</w:t>
            </w:r>
          </w:p>
        </w:tc>
        <w:tc>
          <w:tcPr>
            <w:tcW w:type="dxa" w:w="82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Assign versioned lessons and record completion and knowledge-check outcomes.</w:t>
            </w:r>
          </w:p>
        </w:tc>
      </w:tr>
      <w:tr>
        <w:tc>
          <w:tcPr>
            <w:tcW w:type="dxa" w:w="10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FR3</w:t>
            </w:r>
          </w:p>
        </w:tc>
        <w:tc>
          <w:tcPr>
            <w:tcW w:type="dxa" w:w="82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Administer baseline and follow-up assessments with consistent scoring.</w:t>
            </w:r>
          </w:p>
        </w:tc>
      </w:tr>
      <w:tr>
        <w:tc>
          <w:tcPr>
            <w:tcW w:type="dxa" w:w="10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FR4</w:t>
            </w:r>
          </w:p>
        </w:tc>
        <w:tc>
          <w:tcPr>
            <w:tcW w:type="dxa" w:w="82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Allow authorized managers to schedule approved simulations for assigned test cohorts.</w:t>
            </w:r>
          </w:p>
        </w:tc>
      </w:tr>
      <w:tr>
        <w:tc>
          <w:tcPr>
            <w:tcW w:type="dxa" w:w="10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FR5</w:t>
            </w:r>
          </w:p>
        </w:tc>
        <w:tc>
          <w:tcPr>
            <w:tcW w:type="dxa" w:w="82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Record delivery, simulated click, and report events without capturing credentials or message bodies.</w:t>
            </w:r>
          </w:p>
        </w:tc>
      </w:tr>
      <w:tr>
        <w:tc>
          <w:tcPr>
            <w:tcW w:type="dxa" w:w="10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FR6</w:t>
            </w:r>
          </w:p>
        </w:tc>
        <w:tc>
          <w:tcPr>
            <w:tcW w:type="dxa" w:w="82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Provide immediate feedback about message cues and the approved response.</w:t>
            </w:r>
          </w:p>
        </w:tc>
      </w:tr>
      <w:tr>
        <w:tc>
          <w:tcPr>
            <w:tcW w:type="dxa" w:w="10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FR7</w:t>
            </w:r>
          </w:p>
        </w:tc>
        <w:tc>
          <w:tcPr>
            <w:tcW w:type="dxa" w:w="820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Show learners their progress and managers only authorized cohort-level results.</w:t>
            </w:r>
          </w:p>
        </w:tc>
      </w:tr>
      <w:tr>
        <w:tc>
          <w:tcPr>
            <w:tcW w:type="dxa" w:w="10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FR8</w:t>
            </w:r>
          </w:p>
        </w:tc>
        <w:tc>
          <w:tcPr>
            <w:tcW w:type="dxa" w:w="820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Allow administrators to manage accounts, roles, content, retention settings, and audit review.</w:t>
            </w:r>
          </w:p>
        </w:tc>
      </w:tr>
    </w:tbl>
    <w:p>
      <w:pPr>
        <w:keepNext/>
        <w:spacing w:line="240" w:lineRule="auto"/>
        <w:ind w:firstLine="0"/>
      </w:pPr>
      <w:r>
        <w:rPr>
          <w:rFonts w:ascii="Times New Roman" w:hAnsi="Times New Roman" w:eastAsia="Times New Roman"/>
          <w:b/>
          <w:i w:val="0"/>
          <w:sz w:val="24"/>
        </w:rPr>
        <w:t>Table 3</w:t>
      </w:r>
    </w:p>
    <w:p>
      <w:pPr>
        <w:keepNext/>
        <w:spacing w:line="240" w:lineRule="auto"/>
        <w:ind w:firstLine="0"/>
      </w:pPr>
      <w:r>
        <w:rPr>
          <w:rFonts w:ascii="Times New Roman" w:hAnsi="Times New Roman" w:eastAsia="Times New Roman"/>
          <w:b w:val="0"/>
          <w:i/>
          <w:sz w:val="24"/>
        </w:rPr>
        <w:t>Nonfunctional requirements and prototype acceptance targets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3120"/>
        <w:gridCol w:w="3120"/>
        <w:gridCol w:w="3120"/>
      </w:tblGrid>
      <w:tr>
        <w:trPr>
          <w:tblHeader w:val="true"/>
        </w:trPr>
        <w:tc>
          <w:tcPr>
            <w:tcW w:type="dxa" w:w="1584"/>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Area</w:t>
            </w:r>
          </w:p>
        </w:tc>
        <w:tc>
          <w:tcPr>
            <w:tcW w:type="dxa" w:w="4032"/>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Target or constraint</w:t>
            </w:r>
          </w:p>
        </w:tc>
        <w:tc>
          <w:tcPr>
            <w:tcW w:type="dxa" w:w="3600"/>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Design response</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Performance</w:t>
            </w:r>
          </w:p>
        </w:tc>
        <w:tc>
          <w:tcPr>
            <w:tcW w:type="dxa" w:w="40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At 50 concurrent sessions, 95% of lesson/assessment reads ≤2 seconds and aggregate reports ≤5 seconds.</w:t>
            </w:r>
          </w:p>
        </w:tc>
        <w:tc>
          <w:tcPr>
            <w:tcW w:type="dxa" w:w="36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Indexed queries, bounded reports, documented test dataset.</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Security</w:t>
            </w:r>
          </w:p>
        </w:tc>
        <w:tc>
          <w:tcPr>
            <w:tcW w:type="dxa" w:w="40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Protected actions enforce server-side authorization; no plaintext passwords or simulation credentials.</w:t>
            </w:r>
          </w:p>
        </w:tc>
        <w:tc>
          <w:tcPr>
            <w:tcW w:type="dxa" w:w="36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Central policy checks, secure password hashing, TLS in deployment, privileged MFA, audit logs.</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Privacy</w:t>
            </w:r>
          </w:p>
        </w:tc>
        <w:tc>
          <w:tcPr>
            <w:tcW w:type="dxa" w:w="40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Collect only account identifiers and learning events needed; define retention before deployment.</w:t>
            </w:r>
          </w:p>
        </w:tc>
        <w:tc>
          <w:tcPr>
            <w:tcW w:type="dxa" w:w="36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No message-body collection; restrict individual records; purge expired data.</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Reliability</w:t>
            </w:r>
          </w:p>
        </w:tc>
        <w:tc>
          <w:tcPr>
            <w:tcW w:type="dxa" w:w="40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Assessment or event persists once and survives application restart.</w:t>
            </w:r>
          </w:p>
        </w:tc>
        <w:tc>
          <w:tcPr>
            <w:tcW w:type="dxa" w:w="36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Transaction boundaries, validation, backup/restore procedures, error logging.</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Usability/accessibility</w:t>
            </w:r>
          </w:p>
        </w:tc>
        <w:tc>
          <w:tcPr>
            <w:tcW w:type="dxa" w:w="40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90% pilot task completion without assistance; keyboard access, readable contrast, clear labels.</w:t>
            </w:r>
          </w:p>
        </w:tc>
        <w:tc>
          <w:tcPr>
            <w:tcW w:type="dxa" w:w="36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Plain language, consistent navigation, accessible controls and feedback.</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Scale/maintenance</w:t>
            </w:r>
          </w:p>
        </w:tc>
        <w:tc>
          <w:tcPr>
            <w:tcW w:type="dxa" w:w="40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Prototype target: 250 accounts and 50 concurrent sessions without redesign.</w:t>
            </w:r>
          </w:p>
        </w:tc>
        <w:tc>
          <w:tcPr>
            <w:tcW w:type="dxa" w:w="36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Bounded modules; measure before adopting distributed services.</w:t>
            </w:r>
          </w:p>
        </w:tc>
      </w:tr>
    </w:tbl>
    <w:p>
      <w:pPr>
        <w:spacing w:line="480" w:lineRule="auto" w:after="0"/>
      </w:pPr>
      <w:r>
        <w:t>FR4–FR8 can be verified through role-based scenarios: an employee cannot schedule a campaign or inspect another learner’s record; a manager can schedule only for an assigned cohort; a simulated click returns feedback; and aggregate reports omit unauthorized individual data. Nonfunctional targets require load, restart, accessibility, and authorization checks during implementation. The workload is a planning assumption and should be adjusted if stakeholder evidence supports a different scale.</w:t>
      </w:r>
    </w:p>
    <w:p>
      <w:r>
        <w:br w:type="page"/>
      </w:r>
    </w:p>
    <w:p>
      <w:pPr>
        <w:pStyle w:val="Heading1"/>
        <w:spacing w:line="480" w:lineRule="auto" w:after="0"/>
      </w:pPr>
      <w:r>
        <w:t>Version Control and Collaboration Overview</w:t>
      </w:r>
    </w:p>
    <w:p>
      <w:pPr>
        <w:spacing w:line="480" w:lineRule="auto" w:after="0"/>
      </w:pPr>
      <w:r>
        <w:t>The project repository is published at https://github.com/Djgituo/cybersecurity-awareness-system. Git tracks the architecture, requirements, technical report, design assets, and future application code. The current repository contains the assignment documents and folder structure; application implementation and evaluation remain planned work, not completed milestones.</w:t>
      </w:r>
    </w:p>
    <w:p>
      <w:pPr>
        <w:keepNext/>
        <w:spacing w:line="240" w:lineRule="auto"/>
        <w:ind w:firstLine="0"/>
      </w:pPr>
      <w:r>
        <w:rPr>
          <w:rFonts w:ascii="Times New Roman" w:hAnsi="Times New Roman" w:eastAsia="Times New Roman"/>
          <w:b/>
          <w:i w:val="0"/>
          <w:sz w:val="24"/>
        </w:rPr>
        <w:t>Table 4</w:t>
      </w:r>
    </w:p>
    <w:p>
      <w:pPr>
        <w:keepNext/>
        <w:spacing w:line="240" w:lineRule="auto"/>
        <w:ind w:firstLine="0"/>
      </w:pPr>
      <w:r>
        <w:rPr>
          <w:rFonts w:ascii="Times New Roman" w:hAnsi="Times New Roman" w:eastAsia="Times New Roman"/>
          <w:b w:val="0"/>
          <w:i/>
          <w:sz w:val="24"/>
        </w:rPr>
        <w:t>Repository layout and current status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4680"/>
        <w:gridCol w:w="4680"/>
      </w:tblGrid>
      <w:tr>
        <w:trPr>
          <w:tblHeader w:val="true"/>
        </w:trPr>
        <w:tc>
          <w:tcPr>
            <w:tcW w:type="dxa" w:w="2160"/>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Path</w:t>
            </w:r>
          </w:p>
        </w:tc>
        <w:tc>
          <w:tcPr>
            <w:tcW w:type="dxa" w:w="7056"/>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Purpose and status</w:t>
            </w:r>
          </w:p>
        </w:tc>
      </w:tr>
      <w:tr>
        <w:tc>
          <w:tcPr>
            <w:tcW w:type="dxa" w:w="216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source_code/</w:t>
            </w:r>
          </w:p>
        </w:tc>
        <w:tc>
          <w:tcPr>
            <w:tcW w:type="dxa" w:w="705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Reserved for application modules; implementation has not been added.</w:t>
            </w:r>
          </w:p>
        </w:tc>
      </w:tr>
      <w:tr>
        <w:tc>
          <w:tcPr>
            <w:tcW w:type="dxa" w:w="216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documentation/</w:t>
            </w:r>
          </w:p>
        </w:tc>
        <w:tc>
          <w:tcPr>
            <w:tcW w:type="dxa" w:w="705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Contains this specification and the technical report.</w:t>
            </w:r>
          </w:p>
        </w:tc>
      </w:tr>
      <w:tr>
        <w:tc>
          <w:tcPr>
            <w:tcW w:type="dxa" w:w="216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design/</w:t>
            </w:r>
          </w:p>
        </w:tc>
        <w:tc>
          <w:tcPr>
            <w:tcW w:type="dxa" w:w="705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Contains the architecture diagram and future design artifacts.</w:t>
            </w:r>
          </w:p>
        </w:tc>
      </w:tr>
      <w:tr>
        <w:tc>
          <w:tcPr>
            <w:tcW w:type="dxa" w:w="216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tests/</w:t>
            </w:r>
          </w:p>
        </w:tc>
        <w:tc>
          <w:tcPr>
            <w:tcW w:type="dxa" w:w="705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Reserved for acceptance, security, and usability plans/results.</w:t>
            </w:r>
          </w:p>
        </w:tc>
      </w:tr>
      <w:tr>
        <w:tc>
          <w:tcPr>
            <w:tcW w:type="dxa" w:w="216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README.md</w:t>
            </w:r>
          </w:p>
        </w:tc>
        <w:tc>
          <w:tcPr>
            <w:tcW w:type="dxa" w:w="705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Project purpose, directory map, branch policy, repository URL.</w:t>
            </w:r>
          </w:p>
        </w:tc>
      </w:tr>
    </w:tbl>
    <w:p>
      <w:pPr>
        <w:spacing w:line="480" w:lineRule="auto" w:after="0"/>
      </w:pPr>
      <w:r>
        <w:t>The published main branch is reserved for reviewed, submission-ready milestones. The published development branch is the integration branch. Both currently contain the documentation milestone. Feature branches have not yet been created; future tasks may use names such as feature/training-module, merge into development after review, and move into main when a milestone is ready. This is a proposed workflow, not a claim that additional contributors or feature branches have already been used.</w:t>
      </w:r>
    </w:p>
    <w:p>
      <w:pPr>
        <w:spacing w:line="480" w:lineRule="auto" w:after="0"/>
      </w:pPr>
      <w:r>
        <w:t>Commit messages identify the change and scope. Current history includes “docs: add architecture requirements and technical report,” “docs: add published GitHub repository details,” and “docs: clarify implemented branch structure.” Future commits should use a concise type and action, such as “feat: record simulation report event” or “docs: revise data-retention policy.” Pull requests can record review, rationale, and corrections; branch protection and collaborator access should be configured before outside contributions.</w:t>
      </w:r>
    </w:p>
    <w:p>
      <w:pPr>
        <w:spacing w:line="480" w:lineRule="auto" w:after="0"/>
      </w:pPr>
      <w:r>
        <w:t>This workflow links requirement and design updates to commit history and keeps a stable submission branch separate from integration work. Reviewers can identify the branch and commit that correspond to each submitted version. The same configuration-management process used for documentation will extend to application source and tests as implementation begins (Letaw, 2024; Summers, 2020).</w:t>
      </w:r>
    </w:p>
    <w:p>
      <w:r>
        <w:br w:type="page"/>
      </w:r>
    </w:p>
    <w:p>
      <w:pPr>
        <w:pStyle w:val="Heading1"/>
      </w:pPr>
      <w:r>
        <w:t>References</w:t>
      </w:r>
    </w:p>
    <w:p>
      <w:pPr>
        <w:spacing w:line="480" w:lineRule="auto" w:after="0"/>
        <w:ind w:left="720" w:hanging="720"/>
      </w:pPr>
      <w:r>
        <w:rPr>
          <w:rFonts w:ascii="Times New Roman" w:hAnsi="Times New Roman" w:eastAsia="Times New Roman"/>
          <w:sz w:val="24"/>
        </w:rPr>
        <w:t xml:space="preserve">Davies, S. (2024). </w:t>
      </w:r>
      <w:r>
        <w:rPr>
          <w:rFonts w:ascii="Times New Roman" w:hAnsi="Times New Roman" w:eastAsia="Times New Roman"/>
          <w:i/>
          <w:sz w:val="24"/>
        </w:rPr>
        <w:t>Blueprints: Creating, describing, and implementing designs for larger-scale software projects</w:t>
      </w:r>
      <w:r>
        <w:rPr>
          <w:rFonts w:ascii="Times New Roman" w:hAnsi="Times New Roman" w:eastAsia="Times New Roman"/>
          <w:sz w:val="24"/>
        </w:rPr>
        <w:t xml:space="preserve"> (Version 2.5). University of Mary Washington. </w:t>
      </w:r>
      <w:hyperlink r:id="rId11">
        <w:r>
          <w:rPr>
            <w:color w:val="0563C1"/>
            <w:u w:val="single"/>
          </w:rPr>
          <w:t>https://open.umn.edu/opentextbooks/textbooks/blueprints-creating-describing-and-implementing-designs-for-larger-scale-software-projects-davis</w:t>
        </w:r>
      </w:hyperlink>
    </w:p>
    <w:p>
      <w:pPr>
        <w:spacing w:line="480" w:lineRule="auto" w:after="0"/>
        <w:ind w:left="720" w:hanging="720"/>
      </w:pPr>
      <w:r>
        <w:rPr>
          <w:rFonts w:ascii="Times New Roman" w:hAnsi="Times New Roman" w:eastAsia="Times New Roman"/>
          <w:sz w:val="24"/>
        </w:rPr>
        <w:t xml:space="preserve">Letaw, L. (2024). </w:t>
      </w:r>
      <w:r>
        <w:rPr>
          <w:rFonts w:ascii="Times New Roman" w:hAnsi="Times New Roman" w:eastAsia="Times New Roman"/>
          <w:i/>
          <w:sz w:val="24"/>
        </w:rPr>
        <w:t>Handbook of software engineering methods</w:t>
      </w:r>
      <w:r>
        <w:rPr>
          <w:rFonts w:ascii="Times New Roman" w:hAnsi="Times New Roman" w:eastAsia="Times New Roman"/>
          <w:sz w:val="24"/>
        </w:rPr>
        <w:t xml:space="preserve">. </w:t>
      </w:r>
      <w:hyperlink r:id="rId12">
        <w:r>
          <w:rPr>
            <w:color w:val="0563C1"/>
            <w:u w:val="single"/>
          </w:rPr>
          <w:t>https://open.oregonstate.education/setextbook/</w:t>
        </w:r>
      </w:hyperlink>
    </w:p>
    <w:p>
      <w:pPr>
        <w:spacing w:line="480" w:lineRule="auto" w:after="0"/>
        <w:ind w:left="720" w:hanging="720"/>
      </w:pPr>
      <w:r>
        <w:rPr>
          <w:rFonts w:ascii="Times New Roman" w:hAnsi="Times New Roman" w:eastAsia="Times New Roman"/>
          <w:sz w:val="24"/>
        </w:rPr>
        <w:t xml:space="preserve">Summers, B. L. (2020). </w:t>
      </w:r>
      <w:r>
        <w:rPr>
          <w:rFonts w:ascii="Times New Roman" w:hAnsi="Times New Roman" w:eastAsia="Times New Roman"/>
          <w:i/>
          <w:sz w:val="24"/>
        </w:rPr>
        <w:t>Effective methods for software engineering</w:t>
      </w:r>
      <w:r>
        <w:rPr>
          <w:rFonts w:ascii="Times New Roman" w:hAnsi="Times New Roman" w:eastAsia="Times New Roman"/>
          <w:sz w:val="24"/>
        </w:rPr>
        <w:t xml:space="preserve">. Auerbach Publications. </w:t>
      </w:r>
      <w:hyperlink r:id="rId13">
        <w:r>
          <w:rPr>
            <w:color w:val="0563C1"/>
            <w:u w:val="single"/>
          </w:rPr>
          <w:t>https://www.routledge.com/Effective-Methods-for-Software-Engineering/Summers/p/book/9781032474359</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yperlink" Target="https://open.umn.edu/opentextbooks/textbooks/blueprints-creating-describing-and-implementing-designs-for-larger-scale-software-projects-davis" TargetMode="External"/><Relationship Id="rId12" Type="http://schemas.openxmlformats.org/officeDocument/2006/relationships/hyperlink" Target="https://open.oregonstate.education/setextbook/" TargetMode="External"/><Relationship Id="rId13" Type="http://schemas.openxmlformats.org/officeDocument/2006/relationships/hyperlink" Target="https://www.routledge.com/Effective-Methods-for-Software-Engineering/Summers/p/book/9781032474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Requirements Architecture Module Design and Version Control</dc:title>
  <dc:subject/>
  <dc:creator>Desta Jomma</dc:creator>
  <cp:keywords/>
  <dc:description>generated by python-docx</dc:description>
  <cp:lastModifiedBy>Desta Jomma</cp:lastModifiedBy>
  <cp:revision>1</cp:revision>
  <dcterms:created xsi:type="dcterms:W3CDTF">2013-12-23T23:15:00Z</dcterms:created>
  <dcterms:modified xsi:type="dcterms:W3CDTF">2013-12-23T23:15:00Z</dcterms:modified>
  <cp:category/>
</cp:coreProperties>
</file>