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before="2000"/>
        <w:ind w:firstLine="0"/>
        <w:jc w:val="center"/>
      </w:pPr>
      <w:r>
        <w:rPr>
          <w:rFonts w:ascii="Times New Roman" w:hAnsi="Times New Roman" w:eastAsia="Times New Roman"/>
          <w:b/>
          <w:sz w:val="24"/>
        </w:rPr>
        <w:t>Technical Report: Cybersecurity Awareness and Phishing Simulation System</w:t>
      </w:r>
    </w:p>
    <w:p>
      <w:pPr>
        <w:ind w:firstLine="0"/>
        <w:jc w:val="center"/>
      </w:pPr>
      <w:r>
        <w:t>Cybersecurity Awareness and Phishing Simulation System for Small Businesses</w:t>
      </w:r>
    </w:p>
    <w:p>
      <w:pPr>
        <w:ind w:firstLine="0"/>
        <w:jc w:val="center"/>
      </w:pPr>
      <w:r>
        <w:t>Desta Jomma</w:t>
      </w:r>
    </w:p>
    <w:p>
      <w:pPr>
        <w:ind w:firstLine="0"/>
        <w:jc w:val="center"/>
      </w:pPr>
      <w:r>
        <w:t>University of the People</w:t>
      </w:r>
    </w:p>
    <w:p>
      <w:pPr>
        <w:ind w:firstLine="0"/>
        <w:jc w:val="center"/>
      </w:pPr>
      <w:r>
        <w:t>MSIT 5910-01 - AY2027-T1</w:t>
      </w:r>
    </w:p>
    <w:p>
      <w:pPr>
        <w:ind w:firstLine="0"/>
        <w:jc w:val="center"/>
      </w:pPr>
      <w:r>
        <w:t>MSIT Capstone Project</w:t>
      </w:r>
    </w:p>
    <w:p>
      <w:pPr>
        <w:ind w:firstLine="0"/>
        <w:jc w:val="center"/>
      </w:pPr>
      <w:r>
        <w:t>September 2026</w:t>
      </w:r>
    </w:p>
    <w:p>
      <w:r>
        <w:br w:type="page"/>
      </w:r>
    </w:p>
    <w:p>
      <w:pPr>
        <w:pStyle w:val="Heading1"/>
        <w:spacing w:line="480" w:lineRule="auto" w:after="0"/>
      </w:pPr>
      <w:r>
        <w:t>Abstract</w:t>
      </w:r>
    </w:p>
    <w:p>
      <w:pPr>
        <w:spacing w:line="480" w:lineRule="auto" w:after="0"/>
      </w:pPr>
      <w:r>
        <w:t>Small businesses depend on email and cloud services but may lack the staffing and time to run continuous security-awareness programs. This report defines and designs a prototype combining cybersecurity lessons, baseline and follow-up assessments, controlled phishing simulations, immediate feedback, reporting, and role-scoped dashboards. Research supports repeated, active learning and detailed feedback, but evidence for durable behavior change remains limited. The proposed architecture uses modular application services, server-side authorization, a minimal event model, protected audit records, and an isolated mail-test environment. Requirements distinguish system behavior from measurable prototype quality targets. Evaluation will assess functional correctness, knowledge change, reporting behavior, usability, and privacy controls; click rate will not be treated as a stand-alone measure of competence. Progress includes the literature review, problem definition, architecture, requirements, documentation, and published Git branches. Application code and participant evaluation remain future work. The prototype is for learning and decision support, not surveillance or automated employment decisions.</w:t>
      </w:r>
    </w:p>
    <w:p>
      <w:pPr>
        <w:spacing w:line="480" w:lineRule="auto" w:after="0"/>
        <w:ind w:firstLine="0"/>
      </w:pPr>
      <w:r>
        <w:t>Keywords: cybersecurity awareness, phishing simulation, small business, security education, role-based access control</w:t>
      </w:r>
    </w:p>
    <w:p>
      <w:pPr>
        <w:pStyle w:val="Heading1"/>
        <w:spacing w:line="480" w:lineRule="auto" w:after="0"/>
      </w:pPr>
      <w:r>
        <w:t>Introduction</w:t>
      </w:r>
    </w:p>
    <w:p>
      <w:pPr>
        <w:spacing w:line="480" w:lineRule="auto" w:after="0"/>
      </w:pPr>
      <w:r>
        <w:t>Small organizations depend on email, cloud collaboration, online payments, and remote access to conduct routine business. These systems expose employees to deceptive requests for credentials, payments, or file access. Multifactor authentication, filtering, patching, backups, and least privilege reduce risk, but employees also need practical ways to recognize suspicious messages and report them. The Cybersecurity and Infrastructure Security Agency (CISA, n.d.) organizes small-business guidance around foundational actions such as phishing awareness, strong authentication, software updates, logging, backups, and encryption. Awareness training therefore belongs within a broader security program rather than operating as a substitute for technical controls.</w:t>
      </w:r>
    </w:p>
    <w:p>
      <w:pPr>
        <w:spacing w:line="480" w:lineRule="auto" w:after="0"/>
      </w:pPr>
      <w:r>
        <w:t>The proposed capstone is a Cybersecurity Awareness and Phishing Simulation System for Small Businesses. It is intended to make a basic learning cycle manageable: establish a baseline, deliver short lessons, practice recognition and reporting in a controlled environment, provide feedback, and review aggregate indicators. The system is an academic prototype proposal; it has not yet been implemented or evaluated with participants. Architecture and requirements can be assessed on paper, whereas claims about learning effectiveness require implementation and evidence.</w:t>
      </w:r>
    </w:p>
    <w:p>
      <w:pPr>
        <w:spacing w:line="480" w:lineRule="auto" w:after="0"/>
      </w:pPr>
      <w:r>
        <w:t>This report synthesizes current guidance and research, defines the operational problem, describes scope and architecture, and connects requirements to design choices. It then presents security and privacy controls, an evaluation plan, project progress, and limitations. The design goal is a maintainable system that supports learning while limiting collected data and avoiding punitive interpretations of individual performance.</w:t>
      </w:r>
    </w:p>
    <w:p>
      <w:pPr>
        <w:pStyle w:val="Heading1"/>
        <w:spacing w:line="480" w:lineRule="auto" w:after="0"/>
      </w:pPr>
      <w:r>
        <w:t>Literature Review</w:t>
      </w:r>
    </w:p>
    <w:p>
      <w:pPr>
        <w:pStyle w:val="Heading2"/>
        <w:spacing w:line="480" w:lineRule="auto" w:after="0"/>
      </w:pPr>
      <w:r>
        <w:t>Awareness as a Continuous Learning Program</w:t>
      </w:r>
    </w:p>
    <w:p>
      <w:pPr>
        <w:spacing w:line="480" w:lineRule="auto" w:after="0"/>
      </w:pPr>
      <w:r>
        <w:t>The National Institute of Standards and Technology (NIST) Special Publication 800-50 Revision 1 frames cybersecurity and privacy learning as a lifecycle: assess needs, design and deliver learning, evaluate outcomes, and update the program. Its guidance is intended to be tailored to organizations of different sizes and calls for metrics that support improvement rather than one-time completion tracking (Merritt et al., 2024). This lifecycle supports the project’s sequence of baseline assessment, instruction, practice, feedback, and follow-up measurement. The implication is architectural as well as instructional: the system must preserve course versions and outcome records so managers can determine what training was delivered and which changes followed.</w:t>
      </w:r>
    </w:p>
    <w:p>
      <w:pPr>
        <w:spacing w:line="480" w:lineRule="auto" w:after="0"/>
      </w:pPr>
      <w:r>
        <w:t>CISA’s small-business resources offer a complementary operational perspective. They identify a manageable set of protective practices that resource-constrained organizations can prioritize (CISA, n.d.). Training should therefore be short, task-oriented, and connected to organizational reporting procedures. A lesson that asks employees to “spot phishing” without telling them how to report a suspicious message leaves an operational gap. The proposed system includes reporting practice and a clear feedback path, while recognizing that filtering, multifactor authentication, backups, and incident response remain necessary safeguards.</w:t>
      </w:r>
    </w:p>
    <w:p>
      <w:pPr>
        <w:pStyle w:val="Heading2"/>
        <w:spacing w:line="480" w:lineRule="auto" w:after="0"/>
      </w:pPr>
      <w:r>
        <w:t>Evidence for Phishing Training and Its Limits</w:t>
      </w:r>
    </w:p>
    <w:p>
      <w:pPr>
        <w:spacing w:line="480" w:lineRule="auto" w:after="0"/>
      </w:pPr>
      <w:r>
        <w:t>Research suggests that training design affects outcomes. Kumaraguru et al. (2009) evaluated PhishGuru in a real-world study involving 515 university participants. The intervention delivered brief instruction at the point of a simulated phishing interaction; the authors reported retention after 28 days and better outcomes when a second training message reinforced the first. The study supports contextual practice and reinforcement, but its university population limits direct generalization to small-business employees. It also does not establish that a prototype can prevent real-world compromise.</w:t>
      </w:r>
    </w:p>
    <w:p>
      <w:pPr>
        <w:spacing w:line="480" w:lineRule="auto" w:after="0"/>
      </w:pPr>
      <w:r>
        <w:t>Two reviews broaden the evidence and temper conclusions. Sarker et al. (2024) synthesized 53 academic and 16 practitioner or other grey-literature studies, identifying user knowledge gaps, human-centered design, and tailoring as recurring success factors. Marshall et al. (2024), in a scoping review of 42 studies, found that near-term effects were better documented than sustained behavioral change. They identify repeated practice, active engagement, detailed feedback, and the combination of attention to message cues with broader decision skills as useful training features. Together, these sources support a system that teaches reasoning, gives immediate feedback, and repeats practice. They do not support presenting a lower click rate as proof of lasting resilience.</w:t>
      </w:r>
    </w:p>
    <w:p>
      <w:pPr>
        <w:spacing w:line="480" w:lineRule="auto" w:after="0"/>
      </w:pPr>
      <w:r>
        <w:t>A further design lesson is to avoid treating each error as a stable personal trait. Susceptibility can depend on workload, message context, organizational process, accessibility, and scenario design. A usable awareness program should teach common cues and safe response behavior while making reporting easy. Reporting rate is therefore as important as interaction rate: reporting a convincing message demonstrates a protective action.</w:t>
      </w:r>
    </w:p>
    <w:p>
      <w:pPr>
        <w:pStyle w:val="Heading2"/>
        <w:spacing w:line="480" w:lineRule="auto" w:after="0"/>
      </w:pPr>
      <w:r>
        <w:t>Threat Context and Secure System Design</w:t>
      </w:r>
    </w:p>
    <w:p>
      <w:pPr>
        <w:spacing w:line="480" w:lineRule="auto" w:after="0"/>
      </w:pPr>
      <w:r>
        <w:t>The 2025 Verizon Data Breach Investigations Report analyzed more than 22,000 incidents, including 12,195 confirmed breaches. It identifies credential abuse and vulnerability exploitation among leading initial access vectors (Verizon, 2025). These findings place phishing-related behavior within a wider threat model: stolen credentials matter, but awareness cannot remediate vulnerable software, weak account configuration, or inadequate recovery controls. The prototype consequently combines education with secure authentication, server-side authorization, careful audit logging, and controlled test boundaries.</w:t>
      </w:r>
    </w:p>
    <w:p>
      <w:pPr>
        <w:spacing w:line="480" w:lineRule="auto" w:after="0"/>
      </w:pPr>
      <w:r>
        <w:t>Application security guidance strengthens this design. The Open Worldwide Application Security Project’s (OWASP Foundation, 2025) Top 10 for 2025 includes broken access control, security misconfiguration, software supply-chain failures, authentication failures, and logging and alerting failures among its categories (OWASP Foundation, 2025). NIST’s Secure Software Development Framework recommends integrating security practices throughout the software lifecycle rather than adding them only at release (Souppaya et al., 2022). For this capstone, requirements include authorization and logging, design reviews consider data flows and trust boundaries, and implementation must include negative tests for unauthorized access.</w:t>
      </w:r>
    </w:p>
    <w:p>
      <w:pPr>
        <w:pStyle w:val="Heading2"/>
        <w:spacing w:line="480" w:lineRule="auto" w:after="0"/>
      </w:pPr>
      <w:r>
        <w:t>Synthesis and Design Gap</w:t>
      </w:r>
    </w:p>
    <w:p>
      <w:pPr>
        <w:spacing w:line="480" w:lineRule="auto" w:after="0"/>
      </w:pPr>
      <w:r>
        <w:t>The sources converge on a modest but actionable conclusion: learning should be iterative, relevant, and measured; simulations should reinforce reporting as well as recognition; and application controls should protect the records created by learning activities. The literature does not specify how a small organization should combine courses, assessments, safe simulations, role-scoped reporting, and privacy controls in one maintainable prototype. This capstone addresses that design gap by translating the literature into explicit modules, requirements, data boundaries, and evaluation measures. It does not claim to resolve the wider evidence gap on long-term behavior change.</w:t>
      </w:r>
    </w:p>
    <w:p>
      <w:pPr>
        <w:spacing w:line="480" w:lineRule="auto" w:after="0"/>
        <w:ind w:firstLine="720"/>
      </w:pPr>
      <w:r>
        <w:t>The evidence must be interpreted with attention to study design. The PhishGuru study tested an intervention in a university environment, while the two reviews aggregate studies that vary in participants, training duration, scenario difficulty, and outcome definition (Kumaraguru et al., 2009; Marshall et al., 2024; Sarker et al., 2024). Knowledge tests, click behavior, credential submission, and reporting are related but not interchangeable outcomes. Some studies measure performance immediately after instruction; fewer follow learners over longer periods or test transfer to new messages. The capstone therefore uses the literature to justify design features—practice, reinforcement, feedback, and reporting—rather than to predict a numerical reduction in breaches. Its evaluation should report how each outcome was measured and avoid combining unlike measures into a single awareness score.</w:t>
      </w:r>
    </w:p>
    <w:p>
      <w:pPr>
        <w:pStyle w:val="Heading1"/>
        <w:spacing w:line="480" w:lineRule="auto" w:after="0"/>
      </w:pPr>
      <w:r>
        <w:t>Problem Definition and Project Objectives</w:t>
      </w:r>
    </w:p>
    <w:p>
      <w:pPr>
        <w:spacing w:line="480" w:lineRule="auto" w:after="0"/>
      </w:pPr>
      <w:r>
        <w:t>The problem is the lack of a simple, repeatable, privacy-conscious mechanism for a small business to deliver awareness instruction, let employees practice safe responses, and assess whether activities are usable and operationally meaningful. Ad hoc presentations or annual training may record completion without showing whether employees can identify cues, report concerns, or find the approved response channel. Commercial platforms may exceed a small organization’s budget, administrative capacity, or acceptable level of data collection. The project is not intended to replace enterprise products or an organization’s incident-response process.</w:t>
      </w:r>
    </w:p>
    <w:p>
      <w:pPr>
        <w:spacing w:line="480" w:lineRule="auto" w:after="0"/>
      </w:pPr>
      <w:r>
        <w:t>The objective is to design and implement a bounded prototype with four user-facing capabilities: employees complete lessons, assessments, and practice activities; managers schedule approved campaigns and see authorized aggregate results; administrators manage accounts and content; and the system records only necessary events for feedback and evaluation. The primary design question is: How can a small-business prototype combine training and controlled simulation while maintaining role separation, privacy, usability, and manageable operations? The evaluation question is narrower: Do users complete the intended learning and reporting tasks, and do knowledge and reporting indicators move in the expected direction in a controlled pilot?</w:t>
      </w:r>
    </w:p>
    <w:p>
      <w:pPr>
        <w:spacing w:line="480" w:lineRule="auto" w:after="0"/>
      </w:pPr>
      <w:r>
        <w:t>The scope excludes live production phishing, real credential collection, automatic disciplinary decisions, and integration with a business mail server. A future integration would require separate organizational approval, security assessment, privacy review, and technical controls. Initial scenario delivery must remain isolated from production accounts and use synthetic or explicitly consenting participants.</w:t>
      </w:r>
    </w:p>
    <w:p>
      <w:pPr>
        <w:spacing w:line="480" w:lineRule="auto" w:after="0"/>
        <w:ind w:firstLine="720"/>
      </w:pPr>
      <w:r>
        <w:t>The principal user journeys clarify scope. An employee signs in, receives an assigned lesson, completes a short knowledge check, and uses a visible reporting action during a controlled exercise. A manager selects an approved template, chooses only an authorized cohort, schedules the exercise, and later sees aggregate completion and reporting indicators. An administrator provisions accounts, assigns roles, revises lesson content, and reviews system audit events. These journeys define system boundaries: the manager cannot create arbitrary message content in the first release, the employee cannot browse peer records, and the administrator cannot use simulation results to make automated employment decisions. These constraints keep the prototype focused on instruction and safe practice instead of building a general-purpose mail-campaign platform.</w:t>
      </w:r>
    </w:p>
    <w:p>
      <w:pPr>
        <w:pStyle w:val="Heading1"/>
        <w:spacing w:line="480" w:lineRule="auto" w:after="0"/>
      </w:pPr>
      <w:r>
        <w:t>System Requirements and Scope</w:t>
      </w:r>
    </w:p>
    <w:p>
      <w:pPr>
        <w:spacing w:line="480" w:lineRule="auto" w:after="0"/>
      </w:pPr>
      <w:r>
        <w:t>Functional requirements define observable services. Nonfunctional requirements define quality constraints that shape architecture and acceptance. The following targets are proposed for a small academic prototype; they are planning assumptions to review against stakeholder needs, not measured results.</w:t>
      </w:r>
    </w:p>
    <w:p>
      <w:pPr>
        <w:keepNext/>
        <w:spacing w:line="240" w:lineRule="auto"/>
        <w:ind w:firstLine="0"/>
      </w:pPr>
      <w:r>
        <w:rPr>
          <w:rFonts w:ascii="Times New Roman" w:hAnsi="Times New Roman" w:eastAsia="Times New Roman"/>
          <w:b/>
          <w:i w:val="0"/>
          <w:sz w:val="24"/>
        </w:rPr>
        <w:t>Table 1</w:t>
      </w:r>
    </w:p>
    <w:p>
      <w:pPr>
        <w:keepNext/>
        <w:spacing w:line="240" w:lineRule="auto"/>
        <w:ind w:firstLine="0"/>
      </w:pPr>
      <w:r>
        <w:rPr>
          <w:rFonts w:ascii="Times New Roman" w:hAnsi="Times New Roman" w:eastAsia="Times New Roman"/>
          <w:b w:val="0"/>
          <w:i/>
          <w:sz w:val="24"/>
        </w:rPr>
        <w:t>Requirements and proposed acceptance measures</w:t>
      </w:r>
    </w:p>
    <w:tbl>
      <w:tblPr>
        <w:tblW w:type="auto" w:w="0"/>
        <w:jc w:val="center"/>
        <w:tblLayout w:type="fixed"/>
        <w:tblLook w:firstColumn="1" w:firstRow="1" w:lastColumn="0" w:lastRow="0" w:noHBand="0" w:noVBand="1" w:val="04A0"/>
        <w:tblBorders>
          <w:top w:val="single" w:sz="8" w:color="183B5B"/>
          <w:bottom w:val="single" w:sz="8" w:color="183B5B"/>
          <w:insideH w:val="single" w:sz="4" w:color="AAB6C0"/>
          <w:left w:val="nil"/>
          <w:right w:val="nil"/>
          <w:insideV w:val="nil"/>
        </w:tblBorders>
      </w:tblPr>
      <w:tblGrid>
        <w:gridCol w:w="4680"/>
        <w:gridCol w:w="4680"/>
      </w:tblGrid>
      <w:tr>
        <w:trPr>
          <w:tblHeader w:val="true"/>
        </w:trPr>
        <w:tc>
          <w:tcPr>
            <w:tcW w:type="dxa" w:w="2016"/>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ID / area</w:t>
            </w:r>
          </w:p>
        </w:tc>
        <w:tc>
          <w:tcPr>
            <w:tcW w:type="dxa" w:w="7200"/>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Requirement or acceptance measure</w:t>
            </w:r>
          </w:p>
        </w:tc>
      </w:tr>
      <w:tr>
        <w:tc>
          <w:tcPr>
            <w:tcW w:type="dxa" w:w="2016"/>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FR1 Identity</w:t>
            </w:r>
          </w:p>
        </w:tc>
        <w:tc>
          <w:tcPr>
            <w:tcW w:type="dxa" w:w="720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Authenticate accounts and enforce employee, manager, and administrator permissions on the server.</w:t>
            </w:r>
          </w:p>
        </w:tc>
      </w:tr>
      <w:tr>
        <w:tc>
          <w:tcPr>
            <w:tcW w:type="dxa" w:w="2016"/>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FR2 Learning</w:t>
            </w:r>
          </w:p>
        </w:tc>
        <w:tc>
          <w:tcPr>
            <w:tcW w:type="dxa" w:w="7200"/>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Assign versioned lessons and persist completion and knowledge-check outcomes.</w:t>
            </w:r>
          </w:p>
        </w:tc>
      </w:tr>
      <w:tr>
        <w:tc>
          <w:tcPr>
            <w:tcW w:type="dxa" w:w="2016"/>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FR3 Assessment</w:t>
            </w:r>
          </w:p>
        </w:tc>
        <w:tc>
          <w:tcPr>
            <w:tcW w:type="dxa" w:w="720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Administer baseline and follow-up assessments with consistent scoring and topic-level feedback.</w:t>
            </w:r>
          </w:p>
        </w:tc>
      </w:tr>
      <w:tr>
        <w:tc>
          <w:tcPr>
            <w:tcW w:type="dxa" w:w="2016"/>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FR4 Simulation</w:t>
            </w:r>
          </w:p>
        </w:tc>
        <w:tc>
          <w:tcPr>
            <w:tcW w:type="dxa" w:w="7200"/>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Let an authorized manager schedule approved, controlled scenarios for an assigned test cohort.</w:t>
            </w:r>
          </w:p>
        </w:tc>
      </w:tr>
      <w:tr>
        <w:tc>
          <w:tcPr>
            <w:tcW w:type="dxa" w:w="2016"/>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FR5 Event capture</w:t>
            </w:r>
          </w:p>
        </w:tc>
        <w:tc>
          <w:tcPr>
            <w:tcW w:type="dxa" w:w="720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Record delivery, simulated click, and reporting events; never accept or persist real passwords.</w:t>
            </w:r>
          </w:p>
        </w:tc>
      </w:tr>
      <w:tr>
        <w:tc>
          <w:tcPr>
            <w:tcW w:type="dxa" w:w="2016"/>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FR6 Feedback</w:t>
            </w:r>
          </w:p>
        </w:tc>
        <w:tc>
          <w:tcPr>
            <w:tcW w:type="dxa" w:w="7200"/>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Explain message cues and safe next actions after a simulated interaction or report.</w:t>
            </w:r>
          </w:p>
        </w:tc>
      </w:tr>
      <w:tr>
        <w:tc>
          <w:tcPr>
            <w:tcW w:type="dxa" w:w="2016"/>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FR7 Reporting</w:t>
            </w:r>
          </w:p>
        </w:tc>
        <w:tc>
          <w:tcPr>
            <w:tcW w:type="dxa" w:w="720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Give learners their own progress and managers only cohort-level results for authorized groups.</w:t>
            </w:r>
          </w:p>
        </w:tc>
      </w:tr>
      <w:tr>
        <w:tc>
          <w:tcPr>
            <w:tcW w:type="dxa" w:w="2016"/>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FR8 Administration</w:t>
            </w:r>
          </w:p>
        </w:tc>
        <w:tc>
          <w:tcPr>
            <w:tcW w:type="dxa" w:w="7200"/>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Let administrators manage accounts, roles, content, retention settings, and audit review.</w:t>
            </w:r>
          </w:p>
        </w:tc>
      </w:tr>
      <w:tr>
        <w:tc>
          <w:tcPr>
            <w:tcW w:type="dxa" w:w="2016"/>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Performance</w:t>
            </w:r>
          </w:p>
        </w:tc>
        <w:tc>
          <w:tcPr>
            <w:tcW w:type="dxa" w:w="720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At 50 concurrent sessions, 95% of lesson/assessment reads ≤2 seconds; aggregate reports ≤5 seconds.</w:t>
            </w:r>
          </w:p>
        </w:tc>
      </w:tr>
      <w:tr>
        <w:tc>
          <w:tcPr>
            <w:tcW w:type="dxa" w:w="2016"/>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Security and privacy</w:t>
            </w:r>
          </w:p>
        </w:tc>
        <w:tc>
          <w:tcPr>
            <w:tcW w:type="dxa" w:w="7200"/>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Protected actions enforce server-side authorization; privileged deployment accounts use MFA; event data are minimized and retention is defined.</w:t>
            </w:r>
          </w:p>
        </w:tc>
      </w:tr>
      <w:tr>
        <w:tc>
          <w:tcPr>
            <w:tcW w:type="dxa" w:w="2016"/>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Reliability</w:t>
            </w:r>
          </w:p>
        </w:tc>
        <w:tc>
          <w:tcPr>
            <w:tcW w:type="dxa" w:w="720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A completed assessment or event persists once and survives restart; backup and restore procedures are documented.</w:t>
            </w:r>
          </w:p>
        </w:tc>
      </w:tr>
      <w:tr>
        <w:tc>
          <w:tcPr>
            <w:tcW w:type="dxa" w:w="2016"/>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Usability/accessibility</w:t>
            </w:r>
          </w:p>
        </w:tc>
        <w:tc>
          <w:tcPr>
            <w:tcW w:type="dxa" w:w="7200"/>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90% of pilot users complete lesson/report tasks without help; keyboard navigation, readable contrast, and plain-language feedback are required.</w:t>
            </w:r>
          </w:p>
        </w:tc>
      </w:tr>
      <w:tr>
        <w:tc>
          <w:tcPr>
            <w:tcW w:type="dxa" w:w="2016"/>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Scale/maintenance</w:t>
            </w:r>
          </w:p>
        </w:tc>
        <w:tc>
          <w:tcPr>
            <w:tcW w:type="dxa" w:w="7200"/>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Support 250 accounts and 50 concurrent sessions with modular services and documented interfaces.</w:t>
            </w:r>
          </w:p>
        </w:tc>
      </w:tr>
    </w:tbl>
    <w:p>
      <w:pPr>
        <w:spacing w:line="480" w:lineRule="auto" w:after="0"/>
      </w:pPr>
      <w:r>
        <w:t>These targets create testable conditions without implying production readiness. If a pilot is small or nonrandom, results will be descriptive with sample size and uncertainty. The system must represent incomplete or failed events transparently: a dropped interaction cannot count as a successful report, and incomplete assessments must be distinguished from scored submissions.</w:t>
      </w:r>
    </w:p>
    <w:p>
      <w:pPr>
        <w:spacing w:line="480" w:lineRule="auto" w:after="0"/>
        <w:ind w:firstLine="720"/>
      </w:pPr>
      <w:r>
        <w:t>Requirements will be managed with stable identifiers and acceptance criteria. Each functional requirement should map to at least one user journey, module, and verification case; each quality requirement should map to a design control and a measurable test condition. For example, FR7 maps to reporting and authorization: a learner can retrieve their own progress, while a manager can retrieve only the aggregate view for an assigned cohort. Its negative test attempts to request a different cohort identifier and expects a denial with no disclosure. The proposed 2-second response target maps to indexed read paths and a repeatable load scenario. Traceability reduces the risk that a visually complete dashboard bypasses privacy rules or that a requirement remains prose with no verification method. These links should be maintained in the repository as the design changes.</w:t>
      </w:r>
    </w:p>
    <w:p>
      <w:pPr>
        <w:pStyle w:val="Heading1"/>
        <w:spacing w:line="480" w:lineRule="auto" w:after="0"/>
      </w:pPr>
      <w:r>
        <w:t>Architecture and Design Overview</w:t>
      </w:r>
    </w:p>
    <w:p>
      <w:pPr>
        <w:spacing w:line="480" w:lineRule="auto" w:after="0"/>
      </w:pPr>
      <w:r>
        <w:t>The architecture separates presentation, application services, identity and policy enforcement, and persistence. Employee and manager/admin interfaces call a web API over HTTPS. A centralized identity component validates sessions and applies role and cohort policy on every protected request. The application layer contains bounded services for learning, assessment, simulation scheduling and event capture, reporting, and content administration. Services use explicit data contracts rather than reading each other’s internal state. A modular monolith keeps deployment simple for a capstone while preserving boundaries that can be tested and evolved (Davies, 2024; Letaw, 2024).</w:t>
      </w:r>
    </w:p>
    <w:p>
      <w:pPr>
        <w:spacing w:line="480" w:lineRule="auto" w:after="0"/>
      </w:pPr>
      <w:r>
        <w:t>The data model separates accounts and roles, course content and assignments, assessment attempts, campaign definitions, simulation events, and audit events. Identifiers link events to the smallest necessary learner or cohort record. Reports are derived views rather than a second editable source of truth. The event service accepts defined event types such as delivered, clicked, reported, and feedback viewed. It does not accept passwords or full message contents. Audit records are protected from ordinary employee and manager access; entries record who performed a privileged action, when it occurred, and the action result.</w:t>
      </w:r>
    </w:p>
    <w:p>
      <w:pPr>
        <w:spacing w:line="480" w:lineRule="auto" w:after="0"/>
      </w:pPr>
      <w:r>
        <w:t>Simulation delivery crosses a trust boundary. An authorized manager selects an approved scenario and test cohort; the scheduler checks role and cohort scope; a sandbox relay delivers to synthetic or consenting test accounts; and the event collector records limited outcomes. Feedback explains message indicators and the approved reporting path. Live mailbox integration is deferred because it adds delivery, identity, consent, and operational risks not required to demonstrate core design. Figure 1 shows the proposed components and principal flows.</w:t>
      </w:r>
    </w:p>
    <w:p>
      <w:pPr>
        <w:keepNext/>
        <w:spacing w:line="240" w:lineRule="auto"/>
        <w:ind w:firstLine="0"/>
      </w:pPr>
      <w:r>
        <w:rPr>
          <w:rFonts w:ascii="Times New Roman" w:hAnsi="Times New Roman" w:eastAsia="Times New Roman"/>
          <w:b/>
          <w:sz w:val="24"/>
        </w:rPr>
        <w:t>Figure 1</w:t>
      </w:r>
    </w:p>
    <w:p>
      <w:pPr>
        <w:keepNext/>
        <w:spacing w:line="240" w:lineRule="auto"/>
        <w:ind w:firstLine="0"/>
      </w:pPr>
      <w:r>
        <w:rPr>
          <w:rFonts w:ascii="Times New Roman" w:hAnsi="Times New Roman" w:eastAsia="Times New Roman"/>
          <w:i/>
          <w:sz w:val="24"/>
        </w:rPr>
        <w:t>Proposed logical system architecture</w:t>
      </w:r>
    </w:p>
    <w:p>
      <w:pPr>
        <w:spacing w:line="240" w:lineRule="auto"/>
        <w:ind w:firstLine="0"/>
        <w:jc w:val="center"/>
      </w:pPr>
      <w:r>
        <w:drawing>
          <wp:inline xmlns:a="http://schemas.openxmlformats.org/drawingml/2006/main" xmlns:pic="http://schemas.openxmlformats.org/drawingml/2006/picture">
            <wp:extent cx="5852160" cy="3686861"/>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852160" cy="3686861"/>
                    </a:xfrm>
                    <a:prstGeom prst="rect"/>
                  </pic:spPr>
                </pic:pic>
              </a:graphicData>
            </a:graphic>
          </wp:inline>
        </w:drawing>
      </w:r>
    </w:p>
    <w:p>
      <w:pPr>
        <w:spacing w:line="240" w:lineRule="auto"/>
        <w:ind w:firstLine="0"/>
      </w:pPr>
      <w:r>
        <w:rPr>
          <w:rFonts w:ascii="Times New Roman" w:hAnsi="Times New Roman" w:eastAsia="Times New Roman"/>
          <w:i/>
          <w:sz w:val="20"/>
        </w:rPr>
        <w:t xml:space="preserve">Note. </w:t>
      </w:r>
      <w:r>
        <w:rPr>
          <w:rFonts w:ascii="Times New Roman" w:hAnsi="Times New Roman" w:eastAsia="Times New Roman"/>
          <w:sz w:val="20"/>
        </w:rPr>
        <w:t>The system is a design proposal. Live mail-provider integration is outside the prototype scope; the simulation relay remains isolated.</w:t>
      </w:r>
    </w:p>
    <w:p>
      <w:pPr>
        <w:spacing w:line="480" w:lineRule="auto" w:after="0"/>
        <w:ind w:firstLine="720"/>
      </w:pPr>
      <w:r>
        <w:t>The choice of a modular monolith is deliberate. A small academic team can deploy and observe one application without operating service discovery, separate deployment pipelines, distributed tracing, or multiple databases. Logical module boundaries still allow independent acceptance testing and controlled access to domain data. The persistence model should use normalized records for accounts, roles, assignments, attempts, campaigns, events, and audit entries; derived dashboards can aggregate those records at query time or through a refreshable reporting view. Data retention should be enforced as an application process with an auditable deletion record, rather than relying on a manager to manually remove old rows.</w:t>
      </w:r>
    </w:p>
    <w:p>
      <w:pPr>
        <w:spacing w:line="480" w:lineRule="auto" w:after="0"/>
        <w:ind w:firstLine="720"/>
      </w:pPr>
      <w:r>
        <w:t>The design also accounts for partial failure. If a message is scheduled but the sandbox relay is unavailable, the campaign should enter a failed or pending state instead of recording a successful delivery. Event ingestion should use an event identifier or idempotency key so repeated callbacks do not inflate click or report counts. If the data store is unavailable, the system should not acknowledge an event as persisted; the user should receive a clear error and a retry path. These behaviors protect the validity of reporting metrics and support later troubleshooting. They are proposed requirements for implementation and are not yet verified system behavior.</w:t>
      </w:r>
    </w:p>
    <w:p>
      <w:pPr>
        <w:pStyle w:val="Heading1"/>
        <w:spacing w:line="480" w:lineRule="auto" w:after="0"/>
      </w:pPr>
      <w:r>
        <w:t>Module Design</w:t>
      </w:r>
    </w:p>
    <w:p>
      <w:pPr>
        <w:spacing w:line="480" w:lineRule="auto" w:after="0"/>
      </w:pPr>
      <w:r>
        <w:t>Module boundaries keep user-facing learning, campaign delivery, and sensitive control functions independently reviewable. Each contract links a system input to an expected output and an implementation method so that later acceptance scenarios can trace to requirements.</w:t>
      </w:r>
    </w:p>
    <w:p>
      <w:pPr>
        <w:keepNext/>
        <w:spacing w:line="240" w:lineRule="auto"/>
        <w:ind w:firstLine="0"/>
      </w:pPr>
      <w:r>
        <w:rPr>
          <w:rFonts w:ascii="Times New Roman" w:hAnsi="Times New Roman" w:eastAsia="Times New Roman"/>
          <w:b/>
          <w:i w:val="0"/>
          <w:sz w:val="24"/>
        </w:rPr>
        <w:t>Table 2</w:t>
      </w:r>
    </w:p>
    <w:p>
      <w:pPr>
        <w:keepNext/>
        <w:spacing w:line="240" w:lineRule="auto"/>
        <w:ind w:firstLine="0"/>
      </w:pPr>
      <w:r>
        <w:rPr>
          <w:rFonts w:ascii="Times New Roman" w:hAnsi="Times New Roman" w:eastAsia="Times New Roman"/>
          <w:b w:val="0"/>
          <w:i/>
          <w:sz w:val="24"/>
        </w:rPr>
        <w:t>Module contracts</w:t>
      </w:r>
    </w:p>
    <w:tbl>
      <w:tblPr>
        <w:tblW w:type="auto" w:w="0"/>
        <w:jc w:val="center"/>
        <w:tblLayout w:type="fixed"/>
        <w:tblLook w:firstColumn="1" w:firstRow="1" w:lastColumn="0" w:lastRow="0" w:noHBand="0" w:noVBand="1" w:val="04A0"/>
        <w:tblBorders>
          <w:top w:val="single" w:sz="8" w:color="183B5B"/>
          <w:bottom w:val="single" w:sz="8" w:color="183B5B"/>
          <w:insideH w:val="single" w:sz="4" w:color="AAB6C0"/>
          <w:left w:val="nil"/>
          <w:right w:val="nil"/>
          <w:insideV w:val="nil"/>
        </w:tblBorders>
      </w:tblPr>
      <w:tblGrid>
        <w:gridCol w:w="2340"/>
        <w:gridCol w:w="2340"/>
        <w:gridCol w:w="2340"/>
        <w:gridCol w:w="2340"/>
      </w:tblGrid>
      <w:tr>
        <w:trPr>
          <w:tblHeader w:val="true"/>
        </w:trPr>
        <w:tc>
          <w:tcPr>
            <w:tcW w:type="dxa" w:w="1584"/>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Module</w:t>
            </w:r>
          </w:p>
        </w:tc>
        <w:tc>
          <w:tcPr>
            <w:tcW w:type="dxa" w:w="2232"/>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Inputs</w:t>
            </w:r>
          </w:p>
        </w:tc>
        <w:tc>
          <w:tcPr>
            <w:tcW w:type="dxa" w:w="2232"/>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Outputs</w:t>
            </w:r>
          </w:p>
        </w:tc>
        <w:tc>
          <w:tcPr>
            <w:tcW w:type="dxa" w:w="3168"/>
            <w:tcMar>
              <w:top w:w="80" w:type="dxa"/>
              <w:start w:w="90" w:type="dxa"/>
              <w:bottom w:w="80" w:type="dxa"/>
              <w:end w:w="90" w:type="dxa"/>
            </w:tcMar>
            <w:shd w:fill="183B5B"/>
          </w:tcPr>
          <w:p>
            <w:pPr>
              <w:spacing w:line="240" w:lineRule="auto"/>
              <w:ind w:firstLine="0"/>
            </w:pPr>
            <w:r>
              <w:rPr>
                <w:color w:val="FFFFFF"/>
              </w:rPr>
            </w:r>
            <w:r>
              <w:rPr>
                <w:rFonts w:ascii="Times New Roman" w:hAnsi="Times New Roman" w:eastAsia="Times New Roman"/>
                <w:b/>
                <w:sz w:val="18"/>
              </w:rPr>
              <w:t>Core method</w:t>
            </w:r>
          </w:p>
        </w:tc>
      </w:tr>
      <w:tr>
        <w:tc>
          <w:tcPr>
            <w:tcW w:type="dxa" w:w="1584"/>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Identity and policy</w:t>
            </w:r>
          </w:p>
        </w:tc>
        <w:tc>
          <w:tcPr>
            <w:tcW w:type="dxa" w:w="2232"/>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Credentials, session, role, requested action and record</w:t>
            </w:r>
          </w:p>
        </w:tc>
        <w:tc>
          <w:tcPr>
            <w:tcW w:type="dxa" w:w="2232"/>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Authenticated session; allow/deny result</w:t>
            </w:r>
          </w:p>
        </w:tc>
        <w:tc>
          <w:tcPr>
            <w:tcW w:type="dxa" w:w="3168"/>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Verify password hash; apply deny-by-default role and ownership rules; expire sessions; require MFA for privileged deployment roles.</w:t>
            </w:r>
          </w:p>
        </w:tc>
      </w:tr>
      <w:tr>
        <w:tc>
          <w:tcPr>
            <w:tcW w:type="dxa" w:w="1584"/>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Learning and content</w:t>
            </w:r>
          </w:p>
        </w:tc>
        <w:tc>
          <w:tcPr>
            <w:tcW w:type="dxa" w:w="2232"/>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Course version, assignment, learner identifier</w:t>
            </w:r>
          </w:p>
        </w:tc>
        <w:tc>
          <w:tcPr>
            <w:tcW w:type="dxa" w:w="2232"/>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Lesson content; completion event; feedback</w:t>
            </w:r>
          </w:p>
        </w:tc>
        <w:tc>
          <w:tcPr>
            <w:tcW w:type="dxa" w:w="3168"/>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Deliver short accessible lessons; validate completion; retain content versions for traceability.</w:t>
            </w:r>
          </w:p>
        </w:tc>
      </w:tr>
      <w:tr>
        <w:tc>
          <w:tcPr>
            <w:tcW w:type="dxa" w:w="1584"/>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Assessment</w:t>
            </w:r>
          </w:p>
        </w:tc>
        <w:tc>
          <w:tcPr>
            <w:tcW w:type="dxa" w:w="2232"/>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Question set, response, attempt context</w:t>
            </w:r>
          </w:p>
        </w:tc>
        <w:tc>
          <w:tcPr>
            <w:tcW w:type="dxa" w:w="2232"/>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Score, topic gap, attempt record</w:t>
            </w:r>
          </w:p>
        </w:tc>
        <w:tc>
          <w:tcPr>
            <w:tcW w:type="dxa" w:w="3168"/>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Map questions to lesson goals; use consistent scoring and matched pre/post forms; flag incomplete attempts.</w:t>
            </w:r>
          </w:p>
        </w:tc>
      </w:tr>
      <w:tr>
        <w:tc>
          <w:tcPr>
            <w:tcW w:type="dxa" w:w="1584"/>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Simulation and capture</w:t>
            </w:r>
          </w:p>
        </w:tc>
        <w:tc>
          <w:tcPr>
            <w:tcW w:type="dxa" w:w="2232"/>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Approved scenario, cohort, schedule</w:t>
            </w:r>
          </w:p>
        </w:tc>
        <w:tc>
          <w:tcPr>
            <w:tcW w:type="dxa" w:w="2232"/>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Delivery, click, report, feedback events</w:t>
            </w:r>
          </w:p>
        </w:tc>
        <w:tc>
          <w:tcPr>
            <w:tcW w:type="dxa" w:w="3168"/>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Sandbox-only delivery, allowlisted templates, minimal event schema, no credential field.</w:t>
            </w:r>
          </w:p>
        </w:tc>
      </w:tr>
      <w:tr>
        <w:tc>
          <w:tcPr>
            <w:tcW w:type="dxa" w:w="1584"/>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Reporting</w:t>
            </w:r>
          </w:p>
        </w:tc>
        <w:tc>
          <w:tcPr>
            <w:tcW w:type="dxa" w:w="2232"/>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Authorized learning and event records</w:t>
            </w:r>
          </w:p>
        </w:tc>
        <w:tc>
          <w:tcPr>
            <w:tcW w:type="dxa" w:w="2232"/>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Learner view; aggregate cohort dashboard</w:t>
            </w:r>
          </w:p>
        </w:tc>
        <w:tc>
          <w:tcPr>
            <w:tcW w:type="dxa" w:w="3168"/>
            <w:vAlign w:val="top"/>
            <w:tcMar>
              <w:top w:w="80" w:type="dxa"/>
              <w:start w:w="90" w:type="dxa"/>
              <w:bottom w:w="80" w:type="dxa"/>
              <w:end w:w="90" w:type="dxa"/>
            </w:tcMar>
          </w:tcPr>
          <w:p>
            <w:pPr>
              <w:spacing w:line="240" w:lineRule="auto"/>
              <w:ind w:firstLine="0"/>
            </w:pPr>
            <w:r/>
            <w:r>
              <w:rPr>
                <w:rFonts w:ascii="Times New Roman" w:hAnsi="Times New Roman" w:eastAsia="Times New Roman"/>
                <w:sz w:val="18"/>
              </w:rPr>
              <w:t>Filter by role/cohort; aggregate by period and topic; suppress small cells if re-identification is plausible.</w:t>
            </w:r>
          </w:p>
        </w:tc>
      </w:tr>
      <w:tr>
        <w:tc>
          <w:tcPr>
            <w:tcW w:type="dxa" w:w="1584"/>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Audit and persistence</w:t>
            </w:r>
          </w:p>
        </w:tc>
        <w:tc>
          <w:tcPr>
            <w:tcW w:type="dxa" w:w="2232"/>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Account, content, access, assessment, admin changes</w:t>
            </w:r>
          </w:p>
        </w:tc>
        <w:tc>
          <w:tcPr>
            <w:tcW w:type="dxa" w:w="2232"/>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Persistent state; protected audit events</w:t>
            </w:r>
          </w:p>
        </w:tc>
        <w:tc>
          <w:tcPr>
            <w:tcW w:type="dxa" w:w="3168"/>
            <w:vAlign w:val="top"/>
            <w:tcMar>
              <w:top w:w="80" w:type="dxa"/>
              <w:start w:w="90" w:type="dxa"/>
              <w:bottom w:w="80" w:type="dxa"/>
              <w:end w:w="90" w:type="dxa"/>
            </w:tcMar>
            <w:shd w:fill="F4F7FA"/>
          </w:tcPr>
          <w:p>
            <w:pPr>
              <w:spacing w:line="240" w:lineRule="auto"/>
              <w:ind w:firstLine="0"/>
            </w:pPr>
            <w:r/>
            <w:r>
              <w:rPr>
                <w:rFonts w:ascii="Times New Roman" w:hAnsi="Times New Roman" w:eastAsia="Times New Roman"/>
                <w:sz w:val="18"/>
              </w:rPr>
              <w:t>Validate inputs, persist consistently, restrict logs, define retention, and test backup/restore.</w:t>
            </w:r>
          </w:p>
        </w:tc>
      </w:tr>
    </w:tbl>
    <w:p>
      <w:pPr>
        <w:pStyle w:val="Heading1"/>
        <w:spacing w:line="480" w:lineRule="auto" w:after="0"/>
      </w:pPr>
      <w:r>
        <w:t>Security, Privacy, and Ethical Design</w:t>
      </w:r>
    </w:p>
    <w:p>
      <w:pPr>
        <w:spacing w:line="480" w:lineRule="auto" w:after="0"/>
      </w:pPr>
      <w:r>
        <w:t>Authorization must be enforced at the API and data-access layers, not by hiding controls in the interface. Employees retrieve only their own learning history; managers retrieve cohort results only for assigned groups; administrators change configuration through audited actions. Negative authorization checks should attempt direct-object access, role escalation, expired-session reuse, and audit-log access. These controls address broken access and authentication risks in OWASP guidance (OWASP Foundation, 2025). The secure-development plan applies NIST SSDF practices through requirements review, threat modeling, code review, dependency review, and release checks (Souppaya et al., 2022).</w:t>
      </w:r>
    </w:p>
    <w:p>
      <w:pPr>
        <w:spacing w:line="480" w:lineRule="auto" w:after="0"/>
      </w:pPr>
      <w:r>
        <w:t>Data minimization is a design rule. The prototype needs an account or synthetic identifier, role, course completion, assessment result, and limited simulation metadata. It does not need employee passwords, full message bodies, browsing histories, or unrelated personal data. Authentication secrets must be stored only through a suitable password-hashing function; transport uses TLS in deployment; privileged access uses MFA; and audit records are access-controlled and retained for a documented period. Backups require the same protection as primary records.</w:t>
      </w:r>
    </w:p>
    <w:p>
      <w:pPr>
        <w:spacing w:line="480" w:lineRule="auto" w:after="0"/>
      </w:pPr>
      <w:r>
        <w:t>A simulation is an instructional intervention, not a covert performance ranking. Before a real pilot, participants should receive appropriate notice and consent consistent with institutional and organizational review requirements. Scenarios should not exploit sensitive personal events, create an actual financial emergency, or shame an individual. Feedback explains cues and the reporting path without naming colleagues. Reports should emphasize group learning needs; individual-level records should be visible only when operationally necessary. No result should automatically affect discipline, hiring, promotion, or compensation.</w:t>
      </w:r>
    </w:p>
    <w:p>
      <w:pPr>
        <w:spacing w:line="480" w:lineRule="auto" w:after="0"/>
      </w:pPr>
      <w:r>
        <w:t>The program should state what data are recorded, why they are collected, who can see them, and when they are deleted. A future deployment needs a retention schedule, a process for correction or deletion where applicable, an incident process for exposed records, and an accountable review owner. These measures align the design with NIST’s integrated cybersecurity and privacy learning approach (Merritt et al., 2024) and CISA’s advice to combine employee practices with technical safeguards (CISA, n.d.).</w:t>
      </w:r>
    </w:p>
    <w:p>
      <w:pPr>
        <w:spacing w:line="480" w:lineRule="auto" w:after="0"/>
        <w:ind w:firstLine="720"/>
      </w:pPr>
      <w:r>
        <w:t>A simple threat model helps prioritize safeguards. Assets include account credentials, individual learning records, manager reports, scenario templates, and the audit trail. Relevant actors include an unauthenticated internet user, an employee attempting to inspect another learner’s records, a manager attempting to view an unauthorized cohort, and an administrator account that may be compromised. Threat paths include direct-object reference manipulation, session theft, privilege escalation, accidental exposure through a report export, and misuse of realistic simulations. Controls include deny-by-default authorization, session expiry, MFA for privileged access, output aggregation, audit logging, and strict separation of the simulation relay from production email. Security review should also consider ordinary operational errors, such as an administrator assigning the wrong group or exporting a report with a small cohort that makes individuals identifiable. The threat model will be revisited when concrete technologies and deployment assumptions are selected.</w:t>
      </w:r>
    </w:p>
    <w:p>
      <w:pPr>
        <w:pStyle w:val="Heading1"/>
        <w:spacing w:line="480" w:lineRule="auto" w:after="0"/>
      </w:pPr>
      <w:r>
        <w:t>Evaluation Plan</w:t>
      </w:r>
    </w:p>
    <w:p>
      <w:pPr>
        <w:spacing w:line="480" w:lineRule="auto" w:after="0"/>
      </w:pPr>
      <w:r>
        <w:t>Evaluation has four layers. First, functional acceptance checks verify login, role assignment, lesson completion, scoring, campaign authorization, event recording, feedback, dashboard filtering, and content administration. Each requirement should have a traceable test case with setup, action, expected result, and observed result. Second, security checks attempt unauthorized record access, role escalation, expired-session reuse, invalid event submission, and access to audit functions. Third, usability checks ask representative users to complete core learning and reporting tasks and comment on clarity, navigation, and accessibility. Fourth, learning indicators compare baseline and follow-up knowledge and observe reporting behavior in a controlled simulation.</w:t>
      </w:r>
    </w:p>
    <w:p>
      <w:pPr>
        <w:keepNext/>
        <w:spacing w:line="240" w:lineRule="auto"/>
        <w:ind w:firstLine="0"/>
      </w:pPr>
      <w:r>
        <w:rPr>
          <w:rFonts w:ascii="Times New Roman" w:hAnsi="Times New Roman"/>
          <w:b/>
          <w:sz w:val="24"/>
        </w:rPr>
        <w:t>Table 3</w:t>
      </w:r>
    </w:p>
    <w:p>
      <w:pPr>
        <w:keepNext/>
        <w:spacing w:line="240" w:lineRule="auto"/>
        <w:ind w:firstLine="0"/>
      </w:pPr>
      <w:r>
        <w:rPr>
          <w:rFonts w:ascii="Times New Roman" w:hAnsi="Times New Roman"/>
          <w:i/>
          <w:sz w:val="24"/>
        </w:rPr>
        <w:t>Evaluation measures and interpretation</w:t>
      </w:r>
    </w:p>
    <w:tbl>
      <w:tblPr>
        <w:tblW w:type="auto" w:w="0"/>
        <w:jc w:val="center"/>
        <w:tblLayout w:type="fixed"/>
        <w:tblLook w:firstColumn="1" w:firstRow="1" w:lastColumn="0" w:lastRow="0" w:noHBand="0" w:noVBand="1" w:val="04A0"/>
        <w:tblBorders>
          <w:top w:val="single" w:sz="6" w:color="183B5B"/>
          <w:bottom w:val="single" w:sz="6" w:color="183B5B"/>
          <w:insideH w:val="single" w:sz="3" w:color="AAB6C0"/>
          <w:left w:val="nil"/>
          <w:right w:val="nil"/>
          <w:insideV w:val="nil"/>
        </w:tblBorders>
      </w:tblPr>
      <w:tblGrid>
        <w:gridCol w:w="3120"/>
        <w:gridCol w:w="3120"/>
        <w:gridCol w:w="3120"/>
      </w:tblGrid>
      <w:tr>
        <w:tc>
          <w:tcPr>
            <w:tcW w:type="dxa" w:w="1944"/>
            <w:vAlign w:val="top"/>
            <w:tcMar>
              <w:top w:w="75" w:type="dxa"/>
              <w:start w:w="75" w:type="dxa"/>
              <w:bottom w:w="75" w:type="dxa"/>
              <w:end w:w="75" w:type="dxa"/>
            </w:tcMar>
            <w:shd w:fill="183B5B"/>
          </w:tcPr>
          <w:p>
            <w:pPr>
              <w:spacing w:line="240" w:lineRule="auto" w:after="0"/>
              <w:ind w:firstLine="0"/>
            </w:pPr>
            <w:r>
              <w:rPr>
                <w:rFonts w:ascii="Times New Roman" w:hAnsi="Times New Roman"/>
                <w:b/>
                <w:color w:val="FFFFFF"/>
                <w:sz w:val="18"/>
              </w:rPr>
              <w:t>Measure</w:t>
            </w:r>
          </w:p>
        </w:tc>
        <w:tc>
          <w:tcPr>
            <w:tcW w:type="dxa" w:w="3888"/>
            <w:vAlign w:val="top"/>
            <w:tcMar>
              <w:top w:w="75" w:type="dxa"/>
              <w:start w:w="75" w:type="dxa"/>
              <w:bottom w:w="75" w:type="dxa"/>
              <w:end w:w="75" w:type="dxa"/>
            </w:tcMar>
            <w:shd w:fill="183B5B"/>
          </w:tcPr>
          <w:p>
            <w:pPr>
              <w:spacing w:line="240" w:lineRule="auto" w:after="0"/>
              <w:ind w:firstLine="0"/>
            </w:pPr>
            <w:r>
              <w:rPr>
                <w:rFonts w:ascii="Times New Roman" w:hAnsi="Times New Roman"/>
                <w:b/>
                <w:color w:val="FFFFFF"/>
                <w:sz w:val="18"/>
              </w:rPr>
              <w:t>Operational definition</w:t>
            </w:r>
          </w:p>
        </w:tc>
        <w:tc>
          <w:tcPr>
            <w:tcW w:type="dxa" w:w="3384"/>
            <w:vAlign w:val="top"/>
            <w:tcMar>
              <w:top w:w="75" w:type="dxa"/>
              <w:start w:w="75" w:type="dxa"/>
              <w:bottom w:w="75" w:type="dxa"/>
              <w:end w:w="75" w:type="dxa"/>
            </w:tcMar>
            <w:shd w:fill="183B5B"/>
          </w:tcPr>
          <w:p>
            <w:pPr>
              <w:spacing w:line="240" w:lineRule="auto" w:after="0"/>
              <w:ind w:firstLine="0"/>
            </w:pPr>
            <w:r>
              <w:rPr>
                <w:rFonts w:ascii="Times New Roman" w:hAnsi="Times New Roman"/>
                <w:b/>
                <w:color w:val="FFFFFF"/>
                <w:sz w:val="18"/>
              </w:rPr>
              <w:t>Interpretation limit</w:t>
            </w:r>
          </w:p>
        </w:tc>
      </w:tr>
      <w:tr>
        <w:tc>
          <w:tcPr>
            <w:tcW w:type="dxa" w:w="1944"/>
            <w:vAlign w:val="top"/>
            <w:tcMar>
              <w:top w:w="75" w:type="dxa"/>
              <w:start w:w="75" w:type="dxa"/>
              <w:bottom w:w="75" w:type="dxa"/>
              <w:end w:w="75" w:type="dxa"/>
            </w:tcMar>
          </w:tcPr>
          <w:p>
            <w:pPr>
              <w:spacing w:line="240" w:lineRule="auto" w:after="0"/>
              <w:ind w:firstLine="0"/>
            </w:pPr>
            <w:r>
              <w:rPr>
                <w:rFonts w:ascii="Times New Roman" w:hAnsi="Times New Roman"/>
                <w:sz w:val="18"/>
              </w:rPr>
              <w:t>Knowledge change</w:t>
            </w:r>
          </w:p>
        </w:tc>
        <w:tc>
          <w:tcPr>
            <w:tcW w:type="dxa" w:w="3888"/>
            <w:vAlign w:val="top"/>
            <w:tcMar>
              <w:top w:w="75" w:type="dxa"/>
              <w:start w:w="75" w:type="dxa"/>
              <w:bottom w:w="75" w:type="dxa"/>
              <w:end w:w="75" w:type="dxa"/>
            </w:tcMar>
          </w:tcPr>
          <w:p>
            <w:pPr>
              <w:spacing w:line="240" w:lineRule="auto" w:after="0"/>
              <w:ind w:firstLine="0"/>
            </w:pPr>
            <w:r>
              <w:rPr>
                <w:rFonts w:ascii="Times New Roman" w:hAnsi="Times New Roman"/>
                <w:sz w:val="18"/>
              </w:rPr>
              <w:t>Matched post-test minus baseline score; report sample size and score distribution.</w:t>
            </w:r>
          </w:p>
        </w:tc>
        <w:tc>
          <w:tcPr>
            <w:tcW w:type="dxa" w:w="3384"/>
            <w:vAlign w:val="top"/>
            <w:tcMar>
              <w:top w:w="75" w:type="dxa"/>
              <w:start w:w="75" w:type="dxa"/>
              <w:bottom w:w="75" w:type="dxa"/>
              <w:end w:w="75" w:type="dxa"/>
            </w:tcMar>
          </w:tcPr>
          <w:p>
            <w:pPr>
              <w:spacing w:line="240" w:lineRule="auto" w:after="0"/>
              <w:ind w:firstLine="0"/>
            </w:pPr>
            <w:r>
              <w:rPr>
                <w:rFonts w:ascii="Times New Roman" w:hAnsi="Times New Roman"/>
                <w:sz w:val="18"/>
              </w:rPr>
              <w:t>Measures learned material, not necessarily transfer to workplace behavior.</w:t>
            </w:r>
          </w:p>
        </w:tc>
      </w:tr>
      <w:tr>
        <w:tc>
          <w:tcPr>
            <w:tcW w:type="dxa" w:w="1944"/>
            <w:vAlign w:val="top"/>
            <w:tcMar>
              <w:top w:w="75" w:type="dxa"/>
              <w:start w:w="75" w:type="dxa"/>
              <w:bottom w:w="75" w:type="dxa"/>
              <w:end w:w="75" w:type="dxa"/>
            </w:tcMar>
            <w:shd w:fill="F4F7FA"/>
          </w:tcPr>
          <w:p>
            <w:pPr>
              <w:spacing w:line="240" w:lineRule="auto" w:after="0"/>
              <w:ind w:firstLine="0"/>
            </w:pPr>
            <w:r>
              <w:rPr>
                <w:rFonts w:ascii="Times New Roman" w:hAnsi="Times New Roman"/>
                <w:sz w:val="18"/>
              </w:rPr>
              <w:t>Simulation reporting</w:t>
            </w:r>
          </w:p>
        </w:tc>
        <w:tc>
          <w:tcPr>
            <w:tcW w:type="dxa" w:w="3888"/>
            <w:vAlign w:val="top"/>
            <w:tcMar>
              <w:top w:w="75" w:type="dxa"/>
              <w:start w:w="75" w:type="dxa"/>
              <w:bottom w:w="75" w:type="dxa"/>
              <w:end w:w="75" w:type="dxa"/>
            </w:tcMar>
            <w:shd w:fill="F4F7FA"/>
          </w:tcPr>
          <w:p>
            <w:pPr>
              <w:spacing w:line="240" w:lineRule="auto" w:after="0"/>
              <w:ind w:firstLine="0"/>
            </w:pPr>
            <w:r>
              <w:rPr>
                <w:rFonts w:ascii="Times New Roman" w:hAnsi="Times New Roman"/>
                <w:sz w:val="18"/>
              </w:rPr>
              <w:t>Messages reported divided by successfully delivered simulations.</w:t>
            </w:r>
          </w:p>
        </w:tc>
        <w:tc>
          <w:tcPr>
            <w:tcW w:type="dxa" w:w="3384"/>
            <w:vAlign w:val="top"/>
            <w:tcMar>
              <w:top w:w="75" w:type="dxa"/>
              <w:start w:w="75" w:type="dxa"/>
              <w:bottom w:w="75" w:type="dxa"/>
              <w:end w:w="75" w:type="dxa"/>
            </w:tcMar>
            <w:shd w:fill="F4F7FA"/>
          </w:tcPr>
          <w:p>
            <w:pPr>
              <w:spacing w:line="240" w:lineRule="auto" w:after="0"/>
              <w:ind w:firstLine="0"/>
            </w:pPr>
            <w:r>
              <w:rPr>
                <w:rFonts w:ascii="Times New Roman" w:hAnsi="Times New Roman"/>
                <w:sz w:val="18"/>
              </w:rPr>
              <w:t>Report by scenario and cohort; check event loss and scenario difficulty.</w:t>
            </w:r>
          </w:p>
        </w:tc>
      </w:tr>
      <w:tr>
        <w:tc>
          <w:tcPr>
            <w:tcW w:type="dxa" w:w="1944"/>
            <w:vAlign w:val="top"/>
            <w:tcMar>
              <w:top w:w="75" w:type="dxa"/>
              <w:start w:w="75" w:type="dxa"/>
              <w:bottom w:w="75" w:type="dxa"/>
              <w:end w:w="75" w:type="dxa"/>
            </w:tcMar>
          </w:tcPr>
          <w:p>
            <w:pPr>
              <w:spacing w:line="240" w:lineRule="auto" w:after="0"/>
              <w:ind w:firstLine="0"/>
            </w:pPr>
            <w:r>
              <w:rPr>
                <w:rFonts w:ascii="Times New Roman" w:hAnsi="Times New Roman"/>
                <w:sz w:val="18"/>
              </w:rPr>
              <w:t>Simulation interaction</w:t>
            </w:r>
          </w:p>
        </w:tc>
        <w:tc>
          <w:tcPr>
            <w:tcW w:type="dxa" w:w="3888"/>
            <w:vAlign w:val="top"/>
            <w:tcMar>
              <w:top w:w="75" w:type="dxa"/>
              <w:start w:w="75" w:type="dxa"/>
              <w:bottom w:w="75" w:type="dxa"/>
              <w:end w:w="75" w:type="dxa"/>
            </w:tcMar>
          </w:tcPr>
          <w:p>
            <w:pPr>
              <w:spacing w:line="240" w:lineRule="auto" w:after="0"/>
              <w:ind w:firstLine="0"/>
            </w:pPr>
            <w:r>
              <w:rPr>
                <w:rFonts w:ascii="Times New Roman" w:hAnsi="Times New Roman"/>
                <w:sz w:val="18"/>
              </w:rPr>
              <w:t>Recorded clicks divided by delivered simulations.</w:t>
            </w:r>
          </w:p>
        </w:tc>
        <w:tc>
          <w:tcPr>
            <w:tcW w:type="dxa" w:w="3384"/>
            <w:vAlign w:val="top"/>
            <w:tcMar>
              <w:top w:w="75" w:type="dxa"/>
              <w:start w:w="75" w:type="dxa"/>
              <w:bottom w:w="75" w:type="dxa"/>
              <w:end w:w="75" w:type="dxa"/>
            </w:tcMar>
          </w:tcPr>
          <w:p>
            <w:pPr>
              <w:spacing w:line="240" w:lineRule="auto" w:after="0"/>
              <w:ind w:firstLine="0"/>
            </w:pPr>
            <w:r>
              <w:rPr>
                <w:rFonts w:ascii="Times New Roman" w:hAnsi="Times New Roman"/>
                <w:sz w:val="18"/>
              </w:rPr>
              <w:t>Interpret with reporting and legitimate-message false positives; do not use alone.</w:t>
            </w:r>
          </w:p>
        </w:tc>
      </w:tr>
      <w:tr>
        <w:tc>
          <w:tcPr>
            <w:tcW w:type="dxa" w:w="1944"/>
            <w:vAlign w:val="top"/>
            <w:tcMar>
              <w:top w:w="75" w:type="dxa"/>
              <w:start w:w="75" w:type="dxa"/>
              <w:bottom w:w="75" w:type="dxa"/>
              <w:end w:w="75" w:type="dxa"/>
            </w:tcMar>
            <w:shd w:fill="F4F7FA"/>
          </w:tcPr>
          <w:p>
            <w:pPr>
              <w:spacing w:line="240" w:lineRule="auto" w:after="0"/>
              <w:ind w:firstLine="0"/>
            </w:pPr>
            <w:r>
              <w:rPr>
                <w:rFonts w:ascii="Times New Roman" w:hAnsi="Times New Roman"/>
                <w:sz w:val="18"/>
              </w:rPr>
              <w:t>Task success</w:t>
            </w:r>
          </w:p>
        </w:tc>
        <w:tc>
          <w:tcPr>
            <w:tcW w:type="dxa" w:w="3888"/>
            <w:vAlign w:val="top"/>
            <w:tcMar>
              <w:top w:w="75" w:type="dxa"/>
              <w:start w:w="75" w:type="dxa"/>
              <w:bottom w:w="75" w:type="dxa"/>
              <w:end w:w="75" w:type="dxa"/>
            </w:tcMar>
            <w:shd w:fill="F4F7FA"/>
          </w:tcPr>
          <w:p>
            <w:pPr>
              <w:spacing w:line="240" w:lineRule="auto" w:after="0"/>
              <w:ind w:firstLine="0"/>
            </w:pPr>
            <w:r>
              <w:rPr>
                <w:rFonts w:ascii="Times New Roman" w:hAnsi="Times New Roman"/>
                <w:sz w:val="18"/>
              </w:rPr>
              <w:t>Core tasks completed without assistance divided by observed attempts.</w:t>
            </w:r>
          </w:p>
        </w:tc>
        <w:tc>
          <w:tcPr>
            <w:tcW w:type="dxa" w:w="3384"/>
            <w:vAlign w:val="top"/>
            <w:tcMar>
              <w:top w:w="75" w:type="dxa"/>
              <w:start w:w="75" w:type="dxa"/>
              <w:bottom w:w="75" w:type="dxa"/>
              <w:end w:w="75" w:type="dxa"/>
            </w:tcMar>
            <w:shd w:fill="F4F7FA"/>
          </w:tcPr>
          <w:p>
            <w:pPr>
              <w:spacing w:line="240" w:lineRule="auto" w:after="0"/>
              <w:ind w:firstLine="0"/>
            </w:pPr>
            <w:r>
              <w:rPr>
                <w:rFonts w:ascii="Times New Roman" w:hAnsi="Times New Roman"/>
                <w:sz w:val="18"/>
              </w:rPr>
              <w:t>Pair the rate with user comments and accessibility observations.</w:t>
            </w:r>
          </w:p>
        </w:tc>
      </w:tr>
      <w:tr>
        <w:tc>
          <w:tcPr>
            <w:tcW w:type="dxa" w:w="1944"/>
            <w:vAlign w:val="top"/>
            <w:tcMar>
              <w:top w:w="75" w:type="dxa"/>
              <w:start w:w="75" w:type="dxa"/>
              <w:bottom w:w="75" w:type="dxa"/>
              <w:end w:w="75" w:type="dxa"/>
            </w:tcMar>
          </w:tcPr>
          <w:p>
            <w:pPr>
              <w:spacing w:line="240" w:lineRule="auto" w:after="0"/>
              <w:ind w:firstLine="0"/>
            </w:pPr>
            <w:r>
              <w:rPr>
                <w:rFonts w:ascii="Times New Roman" w:hAnsi="Times New Roman"/>
                <w:sz w:val="18"/>
              </w:rPr>
              <w:t>Authorization checks</w:t>
            </w:r>
          </w:p>
        </w:tc>
        <w:tc>
          <w:tcPr>
            <w:tcW w:type="dxa" w:w="3888"/>
            <w:vAlign w:val="top"/>
            <w:tcMar>
              <w:top w:w="75" w:type="dxa"/>
              <w:start w:w="75" w:type="dxa"/>
              <w:bottom w:w="75" w:type="dxa"/>
              <w:end w:w="75" w:type="dxa"/>
            </w:tcMar>
          </w:tcPr>
          <w:p>
            <w:pPr>
              <w:spacing w:line="240" w:lineRule="auto" w:after="0"/>
              <w:ind w:firstLine="0"/>
            </w:pPr>
            <w:r>
              <w:rPr>
                <w:rFonts w:ascii="Times New Roman" w:hAnsi="Times New Roman"/>
                <w:sz w:val="18"/>
              </w:rPr>
              <w:t>Unauthorized test requests denied divided by unauthorized requests attempted.</w:t>
            </w:r>
          </w:p>
        </w:tc>
        <w:tc>
          <w:tcPr>
            <w:tcW w:type="dxa" w:w="3384"/>
            <w:vAlign w:val="top"/>
            <w:tcMar>
              <w:top w:w="75" w:type="dxa"/>
              <w:start w:w="75" w:type="dxa"/>
              <w:bottom w:w="75" w:type="dxa"/>
              <w:end w:w="75" w:type="dxa"/>
            </w:tcMar>
          </w:tcPr>
          <w:p>
            <w:pPr>
              <w:spacing w:line="240" w:lineRule="auto" w:after="0"/>
              <w:ind w:firstLine="0"/>
            </w:pPr>
            <w:r>
              <w:rPr>
                <w:rFonts w:ascii="Times New Roman" w:hAnsi="Times New Roman"/>
                <w:sz w:val="18"/>
              </w:rPr>
              <w:t>Acceptance target is complete denial in the defined test suite; this is not a guarantee of security.</w:t>
            </w:r>
          </w:p>
        </w:tc>
      </w:tr>
    </w:tbl>
    <w:p>
      <w:pPr>
        <w:spacing w:line="480" w:lineRule="auto" w:after="0"/>
        <w:ind w:firstLine="720"/>
      </w:pPr>
      <w:r>
        <w:t>The study plan should define the target group, recruitment method, consent language, and a stopping rule before sending a simulated message. For an initial usability pilot, a small purposive group can identify navigation and comprehension problems, but it cannot estimate population susceptibility. A later behavioral comparison should use a predeclared analysis plan and an appropriate comparison condition where feasible. If no comparison group is available, report pre/post changes as descriptive observations and discuss alternative explanations, including practice effects, participant self-selection, and differences in scenario difficulty. Any delayed follow-up should be scheduled before data collection so that retention is measured consistently rather than only among participants who remain available.</w:t>
      </w:r>
    </w:p>
    <w:p>
      <w:pPr>
        <w:spacing w:line="480" w:lineRule="auto" w:after="0"/>
        <w:ind w:firstLine="720"/>
      </w:pPr>
      <w:r>
        <w:t>Missing data require explicit treatment. The report should state how many participants were invited, consented, completed each stage, and were included in each calculation. Non-delivery, technical failure, withdrawal, and incomplete assessments should be classified separately rather than silently excluded. The project should not infer that a person who did not click has recognized a threat: they may not have seen the message, may have been away, or may have chosen not to interact for unrelated reasons. Pair system logs with transparent task definitions and participant feedback to interpret outcomes responsibly.</w:t>
      </w:r>
    </w:p>
    <w:p>
      <w:pPr>
        <w:spacing w:line="480" w:lineRule="auto" w:after="0"/>
      </w:pPr>
      <w:r>
        <w:t>Primary measures are course completion rate (completed assignments divided by assigned learners), assessment change (matched post-training score minus baseline score), simulated reporting rate (reported messages divided by delivered simulations), interaction rate (simulated clicks divided by delivered simulations), and task success (users completing a defined task without assistance divided by users attempting it). Results should include denominators, missing data, scenario difficulty, and timing. If the sample is small or nonrandom, report descriptive summaries rather than causal or population-level claims. A lower interaction rate alone is not proof of durable learning; reporting, assessment, false alarms, task completion, and qualitative feedback provide context (Marshall et al., 2024).</w:t>
      </w:r>
    </w:p>
    <w:p>
      <w:pPr>
        <w:spacing w:line="480" w:lineRule="auto" w:after="0"/>
      </w:pPr>
      <w:r>
        <w:t>Matched or equivalent assessment forms can reduce simple recall effects. A controlled scenario set should vary common cues—sender identity, urgency, unexpected attachments, and domain mismatch—without using personally sensitive content. The pilot should measure correct identification of suspicious messages and correct handling of legitimate messages to monitor false positives. Repeated training and delayed measurement are desirable because prior research suggests reinforcement can support retention, while not proving long-term protection in a different workforce (Kumaraguru et al., 2009).</w:t>
      </w:r>
    </w:p>
    <w:p>
      <w:pPr>
        <w:spacing w:line="480" w:lineRule="auto" w:after="0"/>
      </w:pPr>
      <w:r>
        <w:t>Any participant-facing test must use a sandbox, an approved cohort, an incident contact, and an immediate feedback or debrief plan. It should not send to production customers or use real credentials. Before collection begins, the project should obtain any required instructor, institutional, or organizational approval. The evaluation report must separate prototype correctness from learner outcomes: passing software checks demonstrates behavior against requirements; changes in user measures require a defensible study design.</w:t>
      </w:r>
    </w:p>
    <w:p>
      <w:pPr>
        <w:pStyle w:val="Heading1"/>
        <w:spacing w:line="480" w:lineRule="auto" w:after="0"/>
      </w:pPr>
      <w:r>
        <w:t>Project Progress and Version Control</w:t>
      </w:r>
    </w:p>
    <w:p>
      <w:pPr>
        <w:spacing w:line="480" w:lineRule="auto" w:after="0"/>
      </w:pPr>
      <w:r>
        <w:t>The project has completed topic selection, problem definition, an initial literature review, a system architecture, functional and nonfunctional requirements, module contracts, and the two assignment documents. The architecture diagram and documentation are stored in the published GitHub repository at https://github.com/Djgituo/cybersecurity-awareness-system. The repository has published main and development branches. Main is intended for reviewed submission milestones; development is the integration branch. Both currently contain the documentation milestone. Feature branches, application code, test implementation, and participant evaluation have not yet been completed.</w:t>
      </w:r>
    </w:p>
    <w:p>
      <w:pPr>
        <w:spacing w:line="480" w:lineRule="auto" w:after="0"/>
      </w:pPr>
      <w:r>
        <w:t>The repository separates source_code, documentation, design, and tests. Commit messages use concise action language, and future feature work should be reviewed before merging. Requirement identifiers are intended to remain stable so later code commits and test cases can link back to the specification. Git history is a configuration record, not evidence that an unimplemented feature exists. The planned sequence is to finalize requirements; create the initial data model and interface; implement authentication and roles; add learning and assessments; add sandbox simulation and reporting; then verify privacy, security, usability, and reliability. Each milestone should update the README and design documents when decisions change.</w:t>
      </w:r>
    </w:p>
    <w:p>
      <w:pPr>
        <w:spacing w:line="480" w:lineRule="auto" w:after="0"/>
      </w:pPr>
      <w:r>
        <w:t>The main risks are schedule compression, limited participants, email-delivery complexity, insecure handling of employee data, and scope growth. Mitigation is to keep the first build to essential modules, use synthetic data, defer live mail integration, define retention before collecting data, and evaluate against traceable acceptance targets. A feature that cannot be safely completed within the academic scope should be documented as future work rather than represented as complete.</w:t>
      </w:r>
    </w:p>
    <w:p>
      <w:pPr>
        <w:keepNext/>
        <w:spacing w:line="240" w:lineRule="auto"/>
        <w:ind w:firstLine="0"/>
      </w:pPr>
      <w:r>
        <w:rPr>
          <w:rFonts w:ascii="Times New Roman" w:hAnsi="Times New Roman"/>
          <w:b/>
          <w:sz w:val="24"/>
        </w:rPr>
        <w:t>Table 4</w:t>
      </w:r>
    </w:p>
    <w:p>
      <w:pPr>
        <w:keepNext/>
        <w:spacing w:line="240" w:lineRule="auto"/>
        <w:ind w:firstLine="0"/>
      </w:pPr>
      <w:r>
        <w:rPr>
          <w:rFonts w:ascii="Times New Roman" w:hAnsi="Times New Roman"/>
          <w:i/>
          <w:sz w:val="24"/>
        </w:rPr>
        <w:t>Project milestones and evidence</w:t>
      </w:r>
    </w:p>
    <w:tbl>
      <w:tblPr>
        <w:tblW w:type="auto" w:w="0"/>
        <w:jc w:val="center"/>
        <w:tblLayout w:type="fixed"/>
        <w:tblLook w:firstColumn="1" w:firstRow="1" w:lastColumn="0" w:lastRow="0" w:noHBand="0" w:noVBand="1" w:val="04A0"/>
        <w:tblBorders>
          <w:top w:val="single" w:sz="6" w:color="183B5B"/>
          <w:bottom w:val="single" w:sz="6" w:color="183B5B"/>
          <w:insideH w:val="single" w:sz="6" w:color="183B5B"/>
          <w:left w:val="nil"/>
          <w:right w:val="nil"/>
          <w:insideV w:val="nil"/>
        </w:tblBorders>
      </w:tblPr>
      <w:tblGrid>
        <w:gridCol w:w="3120"/>
        <w:gridCol w:w="3120"/>
        <w:gridCol w:w="3120"/>
      </w:tblGrid>
      <w:tr>
        <w:tc>
          <w:tcPr>
            <w:tcW w:type="dxa" w:w="2088"/>
            <w:tcMar>
              <w:top w:w="75" w:type="dxa"/>
              <w:start w:w="75" w:type="dxa"/>
              <w:bottom w:w="75" w:type="dxa"/>
              <w:end w:w="75" w:type="dxa"/>
            </w:tcMar>
            <w:shd w:fill="183B5B"/>
          </w:tcPr>
          <w:p>
            <w:pPr>
              <w:spacing w:line="240" w:lineRule="auto" w:after="0"/>
              <w:ind w:firstLine="0"/>
            </w:pPr>
            <w:r>
              <w:rPr>
                <w:rFonts w:ascii="Times New Roman" w:hAnsi="Times New Roman"/>
                <w:b/>
                <w:color w:val="FFFFFF"/>
                <w:sz w:val="18"/>
              </w:rPr>
              <w:t>Milestone</w:t>
            </w:r>
          </w:p>
        </w:tc>
        <w:tc>
          <w:tcPr>
            <w:tcW w:type="dxa" w:w="1800"/>
            <w:tcMar>
              <w:top w:w="75" w:type="dxa"/>
              <w:start w:w="75" w:type="dxa"/>
              <w:bottom w:w="75" w:type="dxa"/>
              <w:end w:w="75" w:type="dxa"/>
            </w:tcMar>
            <w:shd w:fill="183B5B"/>
          </w:tcPr>
          <w:p>
            <w:pPr>
              <w:spacing w:line="240" w:lineRule="auto" w:after="0"/>
              <w:ind w:firstLine="0"/>
            </w:pPr>
            <w:r>
              <w:rPr>
                <w:rFonts w:ascii="Times New Roman" w:hAnsi="Times New Roman"/>
                <w:b/>
                <w:color w:val="FFFFFF"/>
                <w:sz w:val="18"/>
              </w:rPr>
              <w:t>Status</w:t>
            </w:r>
          </w:p>
        </w:tc>
        <w:tc>
          <w:tcPr>
            <w:tcW w:type="dxa" w:w="5328"/>
            <w:tcMar>
              <w:top w:w="75" w:type="dxa"/>
              <w:start w:w="75" w:type="dxa"/>
              <w:bottom w:w="75" w:type="dxa"/>
              <w:end w:w="75" w:type="dxa"/>
            </w:tcMar>
            <w:shd w:fill="183B5B"/>
          </w:tcPr>
          <w:p>
            <w:pPr>
              <w:spacing w:line="240" w:lineRule="auto" w:after="0"/>
              <w:ind w:firstLine="0"/>
            </w:pPr>
            <w:r>
              <w:rPr>
                <w:rFonts w:ascii="Times New Roman" w:hAnsi="Times New Roman"/>
                <w:b/>
                <w:color w:val="FFFFFF"/>
                <w:sz w:val="18"/>
              </w:rPr>
              <w:t>Evidence / next action</w:t>
            </w:r>
          </w:p>
        </w:tc>
      </w:tr>
      <w:tr>
        <w:tc>
          <w:tcPr>
            <w:tcW w:type="dxa" w:w="2088"/>
            <w:tcMar>
              <w:top w:w="75" w:type="dxa"/>
              <w:start w:w="75" w:type="dxa"/>
              <w:bottom w:w="75" w:type="dxa"/>
              <w:end w:w="75" w:type="dxa"/>
            </w:tcMar>
          </w:tcPr>
          <w:p>
            <w:pPr>
              <w:spacing w:line="240" w:lineRule="auto" w:after="0"/>
              <w:ind w:firstLine="0"/>
            </w:pPr>
            <w:r>
              <w:rPr>
                <w:rFonts w:ascii="Times New Roman" w:hAnsi="Times New Roman"/>
                <w:sz w:val="18"/>
              </w:rPr>
              <w:t>Topic and problem definition</w:t>
            </w:r>
          </w:p>
        </w:tc>
        <w:tc>
          <w:tcPr>
            <w:tcW w:type="dxa" w:w="1800"/>
            <w:tcMar>
              <w:top w:w="75" w:type="dxa"/>
              <w:start w:w="75" w:type="dxa"/>
              <w:bottom w:w="75" w:type="dxa"/>
              <w:end w:w="75" w:type="dxa"/>
            </w:tcMar>
          </w:tcPr>
          <w:p>
            <w:pPr>
              <w:spacing w:line="240" w:lineRule="auto" w:after="0"/>
              <w:ind w:firstLine="0"/>
            </w:pPr>
            <w:r>
              <w:rPr>
                <w:rFonts w:ascii="Times New Roman" w:hAnsi="Times New Roman"/>
                <w:sz w:val="18"/>
              </w:rPr>
              <w:t>Completed</w:t>
            </w:r>
          </w:p>
        </w:tc>
        <w:tc>
          <w:tcPr>
            <w:tcW w:type="dxa" w:w="5328"/>
            <w:tcMar>
              <w:top w:w="75" w:type="dxa"/>
              <w:start w:w="75" w:type="dxa"/>
              <w:bottom w:w="75" w:type="dxa"/>
              <w:end w:w="75" w:type="dxa"/>
            </w:tcMar>
          </w:tcPr>
          <w:p>
            <w:pPr>
              <w:spacing w:line="240" w:lineRule="auto" w:after="0"/>
              <w:ind w:firstLine="0"/>
            </w:pPr>
            <w:r>
              <w:rPr>
                <w:rFonts w:ascii="Times New Roman" w:hAnsi="Times New Roman"/>
                <w:sz w:val="18"/>
              </w:rPr>
              <w:t>Problem and project objective are stated in the technical report.</w:t>
            </w:r>
          </w:p>
        </w:tc>
      </w:tr>
      <w:tr>
        <w:tc>
          <w:tcPr>
            <w:tcW w:type="dxa" w:w="2088"/>
            <w:tcMar>
              <w:top w:w="75" w:type="dxa"/>
              <w:start w:w="75" w:type="dxa"/>
              <w:bottom w:w="75" w:type="dxa"/>
              <w:end w:w="75" w:type="dxa"/>
            </w:tcMar>
            <w:shd w:fill="F4F7FA"/>
          </w:tcPr>
          <w:p>
            <w:pPr>
              <w:spacing w:line="240" w:lineRule="auto" w:after="0"/>
              <w:ind w:firstLine="0"/>
            </w:pPr>
            <w:r>
              <w:rPr>
                <w:rFonts w:ascii="Times New Roman" w:hAnsi="Times New Roman"/>
                <w:sz w:val="18"/>
              </w:rPr>
              <w:t>Literature and design baseline</w:t>
            </w:r>
          </w:p>
        </w:tc>
        <w:tc>
          <w:tcPr>
            <w:tcW w:type="dxa" w:w="1800"/>
            <w:tcMar>
              <w:top w:w="75" w:type="dxa"/>
              <w:start w:w="75" w:type="dxa"/>
              <w:bottom w:w="75" w:type="dxa"/>
              <w:end w:w="75" w:type="dxa"/>
            </w:tcMar>
            <w:shd w:fill="F4F7FA"/>
          </w:tcPr>
          <w:p>
            <w:pPr>
              <w:spacing w:line="240" w:lineRule="auto" w:after="0"/>
              <w:ind w:firstLine="0"/>
            </w:pPr>
            <w:r>
              <w:rPr>
                <w:rFonts w:ascii="Times New Roman" w:hAnsi="Times New Roman"/>
                <w:sz w:val="18"/>
              </w:rPr>
              <w:t>Completed</w:t>
            </w:r>
          </w:p>
        </w:tc>
        <w:tc>
          <w:tcPr>
            <w:tcW w:type="dxa" w:w="5328"/>
            <w:tcMar>
              <w:top w:w="75" w:type="dxa"/>
              <w:start w:w="75" w:type="dxa"/>
              <w:bottom w:w="75" w:type="dxa"/>
              <w:end w:w="75" w:type="dxa"/>
            </w:tcMar>
            <w:shd w:fill="F4F7FA"/>
          </w:tcPr>
          <w:p>
            <w:pPr>
              <w:spacing w:line="240" w:lineRule="auto" w:after="0"/>
              <w:ind w:firstLine="0"/>
            </w:pPr>
            <w:r>
              <w:rPr>
                <w:rFonts w:ascii="Times New Roman" w:hAnsi="Times New Roman"/>
                <w:sz w:val="18"/>
              </w:rPr>
              <w:t>Source synthesis, architecture diagram, module contracts, FRs, and NFR targets are documented.</w:t>
            </w:r>
          </w:p>
        </w:tc>
      </w:tr>
      <w:tr>
        <w:tc>
          <w:tcPr>
            <w:tcW w:type="dxa" w:w="2088"/>
            <w:tcMar>
              <w:top w:w="75" w:type="dxa"/>
              <w:start w:w="75" w:type="dxa"/>
              <w:bottom w:w="75" w:type="dxa"/>
              <w:end w:w="75" w:type="dxa"/>
            </w:tcMar>
          </w:tcPr>
          <w:p>
            <w:pPr>
              <w:spacing w:line="240" w:lineRule="auto" w:after="0"/>
              <w:ind w:firstLine="0"/>
            </w:pPr>
            <w:r>
              <w:rPr>
                <w:rFonts w:ascii="Times New Roman" w:hAnsi="Times New Roman"/>
                <w:sz w:val="18"/>
              </w:rPr>
              <w:t>Git configuration management</w:t>
            </w:r>
          </w:p>
        </w:tc>
        <w:tc>
          <w:tcPr>
            <w:tcW w:type="dxa" w:w="1800"/>
            <w:tcMar>
              <w:top w:w="75" w:type="dxa"/>
              <w:start w:w="75" w:type="dxa"/>
              <w:bottom w:w="75" w:type="dxa"/>
              <w:end w:w="75" w:type="dxa"/>
            </w:tcMar>
          </w:tcPr>
          <w:p>
            <w:pPr>
              <w:spacing w:line="240" w:lineRule="auto" w:after="0"/>
              <w:ind w:firstLine="0"/>
            </w:pPr>
            <w:r>
              <w:rPr>
                <w:rFonts w:ascii="Times New Roman" w:hAnsi="Times New Roman"/>
                <w:sz w:val="18"/>
              </w:rPr>
              <w:t>Completed</w:t>
            </w:r>
          </w:p>
        </w:tc>
        <w:tc>
          <w:tcPr>
            <w:tcW w:type="dxa" w:w="5328"/>
            <w:tcMar>
              <w:top w:w="75" w:type="dxa"/>
              <w:start w:w="75" w:type="dxa"/>
              <w:bottom w:w="75" w:type="dxa"/>
              <w:end w:w="75" w:type="dxa"/>
            </w:tcMar>
          </w:tcPr>
          <w:p>
            <w:pPr>
              <w:spacing w:line="240" w:lineRule="auto" w:after="0"/>
              <w:ind w:firstLine="0"/>
            </w:pPr>
            <w:r>
              <w:rPr>
                <w:rFonts w:ascii="Times New Roman" w:hAnsi="Times New Roman"/>
                <w:sz w:val="18"/>
              </w:rPr>
              <w:t>Published main and development branches contain the documentation milestone.</w:t>
            </w:r>
          </w:p>
        </w:tc>
      </w:tr>
      <w:tr>
        <w:tc>
          <w:tcPr>
            <w:tcW w:type="dxa" w:w="2088"/>
            <w:tcMar>
              <w:top w:w="75" w:type="dxa"/>
              <w:start w:w="75" w:type="dxa"/>
              <w:bottom w:w="75" w:type="dxa"/>
              <w:end w:w="75" w:type="dxa"/>
            </w:tcMar>
            <w:shd w:fill="F4F7FA"/>
          </w:tcPr>
          <w:p>
            <w:pPr>
              <w:spacing w:line="240" w:lineRule="auto" w:after="0"/>
              <w:ind w:firstLine="0"/>
            </w:pPr>
            <w:r>
              <w:rPr>
                <w:rFonts w:ascii="Times New Roman" w:hAnsi="Times New Roman"/>
                <w:sz w:val="18"/>
              </w:rPr>
              <w:t>Application implementation</w:t>
            </w:r>
          </w:p>
        </w:tc>
        <w:tc>
          <w:tcPr>
            <w:tcW w:type="dxa" w:w="1800"/>
            <w:tcMar>
              <w:top w:w="75" w:type="dxa"/>
              <w:start w:w="75" w:type="dxa"/>
              <w:bottom w:w="75" w:type="dxa"/>
              <w:end w:w="75" w:type="dxa"/>
            </w:tcMar>
            <w:shd w:fill="F4F7FA"/>
          </w:tcPr>
          <w:p>
            <w:pPr>
              <w:spacing w:line="240" w:lineRule="auto" w:after="0"/>
              <w:ind w:firstLine="0"/>
            </w:pPr>
            <w:r>
              <w:rPr>
                <w:rFonts w:ascii="Times New Roman" w:hAnsi="Times New Roman"/>
                <w:sz w:val="18"/>
              </w:rPr>
              <w:t>Planned</w:t>
            </w:r>
          </w:p>
        </w:tc>
        <w:tc>
          <w:tcPr>
            <w:tcW w:type="dxa" w:w="5328"/>
            <w:tcMar>
              <w:top w:w="75" w:type="dxa"/>
              <w:start w:w="75" w:type="dxa"/>
              <w:bottom w:w="75" w:type="dxa"/>
              <w:end w:w="75" w:type="dxa"/>
            </w:tcMar>
            <w:shd w:fill="F4F7FA"/>
          </w:tcPr>
          <w:p>
            <w:pPr>
              <w:spacing w:line="240" w:lineRule="auto" w:after="0"/>
              <w:ind w:firstLine="0"/>
            </w:pPr>
            <w:r>
              <w:rPr>
                <w:rFonts w:ascii="Times New Roman" w:hAnsi="Times New Roman"/>
                <w:sz w:val="18"/>
              </w:rPr>
              <w:t>Build a thin authenticated learning workflow; add source code and traceable acceptance cases.</w:t>
            </w:r>
          </w:p>
        </w:tc>
      </w:tr>
      <w:tr>
        <w:tc>
          <w:tcPr>
            <w:tcW w:type="dxa" w:w="2088"/>
            <w:tcMar>
              <w:top w:w="75" w:type="dxa"/>
              <w:start w:w="75" w:type="dxa"/>
              <w:bottom w:w="75" w:type="dxa"/>
              <w:end w:w="75" w:type="dxa"/>
            </w:tcMar>
          </w:tcPr>
          <w:p>
            <w:pPr>
              <w:spacing w:line="240" w:lineRule="auto" w:after="0"/>
              <w:ind w:firstLine="0"/>
            </w:pPr>
            <w:r>
              <w:rPr>
                <w:rFonts w:ascii="Times New Roman" w:hAnsi="Times New Roman"/>
                <w:sz w:val="18"/>
              </w:rPr>
              <w:t>Security and usability evaluation</w:t>
            </w:r>
          </w:p>
        </w:tc>
        <w:tc>
          <w:tcPr>
            <w:tcW w:type="dxa" w:w="1800"/>
            <w:tcMar>
              <w:top w:w="75" w:type="dxa"/>
              <w:start w:w="75" w:type="dxa"/>
              <w:bottom w:w="75" w:type="dxa"/>
              <w:end w:w="75" w:type="dxa"/>
            </w:tcMar>
          </w:tcPr>
          <w:p>
            <w:pPr>
              <w:spacing w:line="240" w:lineRule="auto" w:after="0"/>
              <w:ind w:firstLine="0"/>
            </w:pPr>
            <w:r>
              <w:rPr>
                <w:rFonts w:ascii="Times New Roman" w:hAnsi="Times New Roman"/>
                <w:sz w:val="18"/>
              </w:rPr>
              <w:t>Planned</w:t>
            </w:r>
          </w:p>
        </w:tc>
        <w:tc>
          <w:tcPr>
            <w:tcW w:type="dxa" w:w="5328"/>
            <w:tcMar>
              <w:top w:w="75" w:type="dxa"/>
              <w:start w:w="75" w:type="dxa"/>
              <w:bottom w:w="75" w:type="dxa"/>
              <w:end w:w="75" w:type="dxa"/>
            </w:tcMar>
          </w:tcPr>
          <w:p>
            <w:pPr>
              <w:spacing w:line="240" w:lineRule="auto" w:after="0"/>
              <w:ind w:firstLine="0"/>
            </w:pPr>
            <w:r>
              <w:rPr>
                <w:rFonts w:ascii="Times New Roman" w:hAnsi="Times New Roman"/>
                <w:sz w:val="18"/>
              </w:rPr>
              <w:t>Define authorization checks, recruit only with approval, collect limited pilot data, and report limitations.</w:t>
            </w:r>
          </w:p>
        </w:tc>
      </w:tr>
    </w:tbl>
    <w:p>
      <w:pPr>
        <w:pStyle w:val="Heading1"/>
        <w:spacing w:line="480" w:lineRule="auto" w:after="0"/>
      </w:pPr>
      <w:r>
        <w:t>Limitations</w:t>
      </w:r>
    </w:p>
    <w:p>
      <w:pPr>
        <w:spacing w:line="480" w:lineRule="auto" w:after="0"/>
      </w:pPr>
      <w:r>
        <w:t>The evidence base combines government guidance, industry breach analysis, one field study, and reviews of prior training studies. These sources use different methods and populations. Verizon’s incident data describe reported breach patterns, not the causal effect of training. The PhishGuru study involved a university sample, and review conclusions depend on the studies and interventions available. None guarantees that the proposed system will change behavior in a small business.</w:t>
      </w:r>
    </w:p>
    <w:p>
      <w:pPr>
        <w:spacing w:line="480" w:lineRule="auto" w:after="0"/>
      </w:pPr>
      <w:r>
        <w:t>The workload, response-time, usability, and scale thresholds are engineering targets that require measurement after implementation. A small or convenience sample may not support statistical inference. Scenario results can vary with difficulty, timing, prior knowledge, workload, and organizational culture. Assessment scores and simulated clicks are proxies, not direct measures of real-world security. The project also excludes mail-provider integration, incident response, endpoint protection, and identity federation. This design is not production-ready and cannot replace technical safeguards, policy, or professional security review.</w:t>
      </w:r>
    </w:p>
    <w:p>
      <w:pPr>
        <w:pStyle w:val="Heading1"/>
        <w:spacing w:line="480" w:lineRule="auto" w:after="0"/>
      </w:pPr>
      <w:r>
        <w:t>Conclusion</w:t>
      </w:r>
    </w:p>
    <w:p>
      <w:pPr>
        <w:spacing w:line="480" w:lineRule="auto" w:after="0"/>
      </w:pPr>
      <w:r>
        <w:t>This report defines a feasible architecture for a small-business awareness prototype and links its learning features to security, privacy, usability, reliability, and performance requirements. The literature supports iterative practice and detailed feedback while warning that sustained behavioral change is difficult to establish. The proposed modular-monolith architecture, sandbox boundary, server-side role checks, minimized event model, and role-scoped reporting translate the evidence into implementable constraints. Current progress is documentary: the specification, architecture, and repository branches are published, while application code and evaluation remain planned. The next milestone is a thin working slice that authenticates a test user, completes one lesson, records one assessment attempt, and verifies that unauthorized users cannot access another learner’s record.</w:t>
      </w:r>
    </w:p>
    <w:p>
      <w:r>
        <w:br w:type="page"/>
      </w:r>
    </w:p>
    <w:p>
      <w:pPr>
        <w:pStyle w:val="Heading1"/>
      </w:pPr>
      <w:r>
        <w:t>References</w:t>
      </w:r>
    </w:p>
    <w:p>
      <w:pPr>
        <w:spacing w:line="480" w:lineRule="auto" w:after="0"/>
        <w:ind w:left="720" w:hanging="720"/>
      </w:pPr>
      <w:r>
        <w:rPr>
          <w:rFonts w:ascii="Times New Roman" w:hAnsi="Times New Roman" w:eastAsia="Times New Roman"/>
          <w:sz w:val="24"/>
        </w:rPr>
        <w:t xml:space="preserve">Cybersecurity and Infrastructure Security Agency. (n.d.). </w:t>
      </w:r>
      <w:r>
        <w:rPr>
          <w:rFonts w:ascii="Times New Roman" w:hAnsi="Times New Roman" w:eastAsia="Times New Roman"/>
          <w:i/>
          <w:sz w:val="24"/>
        </w:rPr>
        <w:t>Small and medium-sized business resources</w:t>
      </w:r>
      <w:r>
        <w:rPr>
          <w:rFonts w:ascii="Times New Roman" w:hAnsi="Times New Roman" w:eastAsia="Times New Roman"/>
          <w:sz w:val="24"/>
        </w:rPr>
        <w:t xml:space="preserve">. </w:t>
      </w:r>
      <w:hyperlink r:id="rId11">
        <w:r>
          <w:rPr>
            <w:color w:val="0563C1"/>
            <w:u w:val="single"/>
          </w:rPr>
          <w:t>https://www.cisa.gov/small-and-medium-sized-business-resources</w:t>
        </w:r>
      </w:hyperlink>
    </w:p>
    <w:p>
      <w:pPr>
        <w:spacing w:line="480" w:lineRule="auto" w:after="0"/>
        <w:ind w:left="720" w:hanging="720"/>
      </w:pPr>
      <w:r>
        <w:rPr>
          <w:rFonts w:ascii="Times New Roman" w:hAnsi="Times New Roman" w:eastAsia="Times New Roman"/>
          <w:sz w:val="24"/>
        </w:rPr>
        <w:t xml:space="preserve">Davies, S. (2024). </w:t>
      </w:r>
      <w:r>
        <w:rPr>
          <w:rFonts w:ascii="Times New Roman" w:hAnsi="Times New Roman" w:eastAsia="Times New Roman"/>
          <w:i/>
          <w:sz w:val="24"/>
        </w:rPr>
        <w:t>Blueprints: Creating, describing, and implementing designs for larger-scale software projects</w:t>
      </w:r>
      <w:r>
        <w:rPr>
          <w:rFonts w:ascii="Times New Roman" w:hAnsi="Times New Roman" w:eastAsia="Times New Roman"/>
          <w:sz w:val="24"/>
        </w:rPr>
        <w:t xml:space="preserve"> (Version 2.5). University of Mary Washington. </w:t>
      </w:r>
      <w:hyperlink r:id="rId12">
        <w:r>
          <w:rPr>
            <w:color w:val="0563C1"/>
            <w:u w:val="single"/>
          </w:rPr>
          <w:t>https://open.umn.edu/opentextbooks/textbooks/blueprints-creating-describing-and-implementing-designs-for-larger-scale-software-projects-davis</w:t>
        </w:r>
      </w:hyperlink>
    </w:p>
    <w:p>
      <w:pPr>
        <w:spacing w:line="480" w:lineRule="auto" w:after="0"/>
        <w:ind w:left="720" w:hanging="720"/>
      </w:pPr>
      <w:r>
        <w:rPr>
          <w:rFonts w:ascii="Times New Roman" w:hAnsi="Times New Roman" w:eastAsia="Times New Roman"/>
          <w:sz w:val="24"/>
        </w:rPr>
        <w:t xml:space="preserve">Kumaraguru, P., Cranshaw, J., Acquisti, A., Cranor, L. F., Hong, J., Blair, M. A., &amp; Pham, T. (2009). School of phish: A real-world evaluation of anti-phishing training. In </w:t>
      </w:r>
      <w:r>
        <w:rPr>
          <w:rFonts w:ascii="Times New Roman" w:hAnsi="Times New Roman" w:eastAsia="Times New Roman"/>
          <w:i/>
          <w:sz w:val="24"/>
        </w:rPr>
        <w:t>Proceedings of the 5th Symposium on Usable Privacy and Security</w:t>
      </w:r>
      <w:r>
        <w:rPr>
          <w:rFonts w:ascii="Times New Roman" w:hAnsi="Times New Roman" w:eastAsia="Times New Roman"/>
          <w:sz w:val="24"/>
        </w:rPr>
        <w:t xml:space="preserve"> (pp. 1–12). Association for Computing Machinery. </w:t>
      </w:r>
      <w:hyperlink r:id="rId13">
        <w:r>
          <w:rPr>
            <w:color w:val="0563C1"/>
            <w:u w:val="single"/>
          </w:rPr>
          <w:t>https://doi.org/10.1145/1572532.1572536</w:t>
        </w:r>
      </w:hyperlink>
    </w:p>
    <w:p>
      <w:pPr>
        <w:spacing w:line="480" w:lineRule="auto" w:after="0"/>
        <w:ind w:left="720" w:hanging="720"/>
      </w:pPr>
      <w:r>
        <w:rPr>
          <w:rFonts w:ascii="Times New Roman" w:hAnsi="Times New Roman" w:eastAsia="Times New Roman"/>
          <w:sz w:val="24"/>
        </w:rPr>
        <w:t xml:space="preserve">Letaw, L. (2024). </w:t>
      </w:r>
      <w:r>
        <w:rPr>
          <w:rFonts w:ascii="Times New Roman" w:hAnsi="Times New Roman" w:eastAsia="Times New Roman"/>
          <w:i/>
          <w:sz w:val="24"/>
        </w:rPr>
        <w:t>Handbook of software engineering methods</w:t>
      </w:r>
      <w:r>
        <w:rPr>
          <w:rFonts w:ascii="Times New Roman" w:hAnsi="Times New Roman" w:eastAsia="Times New Roman"/>
          <w:sz w:val="24"/>
        </w:rPr>
        <w:t xml:space="preserve">. </w:t>
      </w:r>
      <w:hyperlink r:id="rId14">
        <w:r>
          <w:rPr>
            <w:color w:val="0563C1"/>
            <w:u w:val="single"/>
          </w:rPr>
          <w:t>https://open.oregonstate.education/setextbook/</w:t>
        </w:r>
      </w:hyperlink>
    </w:p>
    <w:p>
      <w:pPr>
        <w:spacing w:line="480" w:lineRule="auto" w:after="0"/>
        <w:ind w:left="720" w:hanging="720"/>
      </w:pPr>
      <w:r>
        <w:rPr>
          <w:rFonts w:ascii="Times New Roman" w:hAnsi="Times New Roman" w:eastAsia="Times New Roman"/>
          <w:sz w:val="24"/>
        </w:rPr>
        <w:t xml:space="preserve">Marshall, N., Sturman, D., &amp; Auton, J. C. (2024). Exploring the evidence for email phishing training: A scoping review. </w:t>
      </w:r>
      <w:r>
        <w:rPr>
          <w:rFonts w:ascii="Times New Roman" w:hAnsi="Times New Roman" w:eastAsia="Times New Roman"/>
          <w:i/>
          <w:sz w:val="24"/>
        </w:rPr>
        <w:t>Computers &amp; Security, 139</w:t>
      </w:r>
      <w:r>
        <w:rPr>
          <w:rFonts w:ascii="Times New Roman" w:hAnsi="Times New Roman" w:eastAsia="Times New Roman"/>
          <w:sz w:val="24"/>
        </w:rPr>
        <w:t xml:space="preserve">, 103695. </w:t>
      </w:r>
      <w:hyperlink r:id="rId15">
        <w:r>
          <w:rPr>
            <w:color w:val="0563C1"/>
            <w:u w:val="single"/>
          </w:rPr>
          <w:t>https://doi.org/10.1016/j.cose.2023.103695</w:t>
        </w:r>
      </w:hyperlink>
    </w:p>
    <w:p>
      <w:pPr>
        <w:spacing w:line="480" w:lineRule="auto" w:after="0"/>
        <w:ind w:left="720" w:hanging="720"/>
      </w:pPr>
      <w:r>
        <w:rPr>
          <w:rFonts w:ascii="Times New Roman" w:hAnsi="Times New Roman" w:eastAsia="Times New Roman"/>
          <w:sz w:val="24"/>
        </w:rPr>
        <w:t xml:space="preserve">Merritt, M., Hansche, S., Ellis, B., Nethery Snyder, J., Sanchez-Cherry, K., &amp; Walden, D. (2024). </w:t>
      </w:r>
      <w:r>
        <w:rPr>
          <w:rFonts w:ascii="Times New Roman" w:hAnsi="Times New Roman" w:eastAsia="Times New Roman"/>
          <w:i/>
          <w:sz w:val="24"/>
        </w:rPr>
        <w:t>Building a cybersecurity and privacy learning program</w:t>
      </w:r>
      <w:r>
        <w:rPr>
          <w:rFonts w:ascii="Times New Roman" w:hAnsi="Times New Roman" w:eastAsia="Times New Roman"/>
          <w:sz w:val="24"/>
        </w:rPr>
        <w:t xml:space="preserve"> (NIST Special Publication 800-50 Rev. 1). National Institute of Standards and Technology. </w:t>
      </w:r>
      <w:hyperlink r:id="rId16">
        <w:r>
          <w:rPr>
            <w:color w:val="0563C1"/>
            <w:u w:val="single"/>
          </w:rPr>
          <w:t>https://doi.org/10.6028/NIST.SP.800-50r1</w:t>
        </w:r>
      </w:hyperlink>
    </w:p>
    <w:p>
      <w:pPr>
        <w:spacing w:line="480" w:lineRule="auto" w:after="0"/>
        <w:ind w:left="720" w:hanging="720"/>
      </w:pPr>
      <w:r>
        <w:rPr>
          <w:rFonts w:ascii="Times New Roman" w:hAnsi="Times New Roman" w:eastAsia="Times New Roman"/>
          <w:sz w:val="24"/>
        </w:rPr>
        <w:t xml:space="preserve">OWASP Foundation. (2025). </w:t>
      </w:r>
      <w:r>
        <w:rPr>
          <w:rFonts w:ascii="Times New Roman" w:hAnsi="Times New Roman" w:eastAsia="Times New Roman"/>
          <w:i/>
          <w:sz w:val="24"/>
        </w:rPr>
        <w:t>OWASP Top 10: 2025</w:t>
      </w:r>
      <w:r>
        <w:rPr>
          <w:rFonts w:ascii="Times New Roman" w:hAnsi="Times New Roman" w:eastAsia="Times New Roman"/>
          <w:sz w:val="24"/>
        </w:rPr>
        <w:t xml:space="preserve">. </w:t>
      </w:r>
      <w:hyperlink r:id="rId17">
        <w:r>
          <w:rPr>
            <w:color w:val="0563C1"/>
            <w:u w:val="single"/>
          </w:rPr>
          <w:t>https://owasp.org/Top10/</w:t>
        </w:r>
      </w:hyperlink>
    </w:p>
    <w:p>
      <w:pPr>
        <w:spacing w:line="480" w:lineRule="auto" w:after="0"/>
        <w:ind w:left="720" w:hanging="720"/>
      </w:pPr>
      <w:r>
        <w:rPr>
          <w:rFonts w:ascii="Times New Roman" w:hAnsi="Times New Roman" w:eastAsia="Times New Roman"/>
          <w:sz w:val="24"/>
        </w:rPr>
        <w:t xml:space="preserve">Sarker, O., Jayatilaka, A., Haggag, S., Liu, C., &amp; Babar, M. A. (2024). A multi-vocal literature review on challenges and critical success factors of phishing education, training and awareness. </w:t>
      </w:r>
      <w:r>
        <w:rPr>
          <w:rFonts w:ascii="Times New Roman" w:hAnsi="Times New Roman" w:eastAsia="Times New Roman"/>
          <w:i/>
          <w:sz w:val="24"/>
        </w:rPr>
        <w:t>Journal of Systems and Software, 208</w:t>
      </w:r>
      <w:r>
        <w:rPr>
          <w:rFonts w:ascii="Times New Roman" w:hAnsi="Times New Roman" w:eastAsia="Times New Roman"/>
          <w:sz w:val="24"/>
        </w:rPr>
        <w:t xml:space="preserve">, 111899. </w:t>
      </w:r>
      <w:hyperlink r:id="rId18">
        <w:r>
          <w:rPr>
            <w:color w:val="0563C1"/>
            <w:u w:val="single"/>
          </w:rPr>
          <w:t>https://doi.org/10.1016/j.jss.2023.111899</w:t>
        </w:r>
      </w:hyperlink>
    </w:p>
    <w:p>
      <w:pPr>
        <w:spacing w:line="480" w:lineRule="auto" w:after="0"/>
        <w:ind w:left="720" w:hanging="720"/>
      </w:pPr>
      <w:r>
        <w:rPr>
          <w:rFonts w:ascii="Times New Roman" w:hAnsi="Times New Roman" w:eastAsia="Times New Roman"/>
          <w:sz w:val="24"/>
        </w:rPr>
        <w:t xml:space="preserve">Souppaya, M., Scarfone, K., &amp; Dodson, D. (2022). </w:t>
      </w:r>
      <w:r>
        <w:rPr>
          <w:rFonts w:ascii="Times New Roman" w:hAnsi="Times New Roman" w:eastAsia="Times New Roman"/>
          <w:i/>
          <w:sz w:val="24"/>
        </w:rPr>
        <w:t>Secure software development framework (SSDF) version 1.1: Recommendations for mitigating the risk of software vulnerabilities</w:t>
      </w:r>
      <w:r>
        <w:rPr>
          <w:rFonts w:ascii="Times New Roman" w:hAnsi="Times New Roman" w:eastAsia="Times New Roman"/>
          <w:sz w:val="24"/>
        </w:rPr>
        <w:t xml:space="preserve"> (NIST Special Publication 800-218). National Institute of Standards and Technology. </w:t>
      </w:r>
      <w:hyperlink r:id="rId19">
        <w:r>
          <w:rPr>
            <w:color w:val="0563C1"/>
            <w:u w:val="single"/>
          </w:rPr>
          <w:t>https://doi.org/10.6028/NIST.SP.800-218</w:t>
        </w:r>
      </w:hyperlink>
    </w:p>
    <w:p>
      <w:pPr>
        <w:spacing w:line="480" w:lineRule="auto" w:after="0"/>
        <w:ind w:left="720" w:hanging="720"/>
      </w:pPr>
      <w:r>
        <w:rPr>
          <w:rFonts w:ascii="Times New Roman" w:hAnsi="Times New Roman" w:eastAsia="Times New Roman"/>
          <w:sz w:val="24"/>
        </w:rPr>
        <w:t xml:space="preserve">Summers, B. L. (2020). </w:t>
      </w:r>
      <w:r>
        <w:rPr>
          <w:rFonts w:ascii="Times New Roman" w:hAnsi="Times New Roman" w:eastAsia="Times New Roman"/>
          <w:i/>
          <w:sz w:val="24"/>
        </w:rPr>
        <w:t>Effective methods for software engineering</w:t>
      </w:r>
      <w:r>
        <w:rPr>
          <w:rFonts w:ascii="Times New Roman" w:hAnsi="Times New Roman" w:eastAsia="Times New Roman"/>
          <w:sz w:val="24"/>
        </w:rPr>
        <w:t xml:space="preserve">. Auerbach Publications. </w:t>
      </w:r>
      <w:hyperlink r:id="rId20">
        <w:r>
          <w:rPr>
            <w:color w:val="0563C1"/>
            <w:u w:val="single"/>
          </w:rPr>
          <w:t>https://www.routledge.com/Effective-Methods-for-Software-Engineering/Summers/p/book/9781032474359</w:t>
        </w:r>
      </w:hyperlink>
    </w:p>
    <w:p>
      <w:pPr>
        <w:spacing w:line="480" w:lineRule="auto" w:after="0"/>
        <w:ind w:left="720" w:hanging="720"/>
      </w:pPr>
      <w:r>
        <w:rPr>
          <w:rFonts w:ascii="Times New Roman" w:hAnsi="Times New Roman" w:eastAsia="Times New Roman"/>
          <w:sz w:val="24"/>
        </w:rPr>
        <w:t xml:space="preserve">Verizon. (2025). </w:t>
      </w:r>
      <w:r>
        <w:rPr>
          <w:rFonts w:ascii="Times New Roman" w:hAnsi="Times New Roman" w:eastAsia="Times New Roman"/>
          <w:i/>
          <w:sz w:val="24"/>
        </w:rPr>
        <w:t>2025 data breach investigations report</w:t>
      </w:r>
      <w:r>
        <w:rPr>
          <w:rFonts w:ascii="Times New Roman" w:hAnsi="Times New Roman" w:eastAsia="Times New Roman"/>
          <w:sz w:val="24"/>
        </w:rPr>
        <w:t xml:space="preserve">. </w:t>
      </w:r>
      <w:hyperlink r:id="rId21">
        <w:r>
          <w:rPr>
            <w:color w:val="0563C1"/>
            <w:u w:val="single"/>
          </w:rPr>
          <w:t>https://www.verizon.com/business/resources/reports/dbir/</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eastAsia="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yperlink" Target="https://www.cisa.gov/small-and-medium-sized-business-resources" TargetMode="External"/><Relationship Id="rId12" Type="http://schemas.openxmlformats.org/officeDocument/2006/relationships/hyperlink" Target="https://open.umn.edu/opentextbooks/textbooks/blueprints-creating-describing-and-implementing-designs-for-larger-scale-software-projects-davis" TargetMode="External"/><Relationship Id="rId13" Type="http://schemas.openxmlformats.org/officeDocument/2006/relationships/hyperlink" Target="https://doi.org/10.1145/1572532.1572536" TargetMode="External"/><Relationship Id="rId14" Type="http://schemas.openxmlformats.org/officeDocument/2006/relationships/hyperlink" Target="https://open.oregonstate.education/setextbook/" TargetMode="External"/><Relationship Id="rId15" Type="http://schemas.openxmlformats.org/officeDocument/2006/relationships/hyperlink" Target="https://doi.org/10.1016/j.cose.2023.103695" TargetMode="External"/><Relationship Id="rId16" Type="http://schemas.openxmlformats.org/officeDocument/2006/relationships/hyperlink" Target="https://doi.org/10.6028/NIST.SP.800-50r1" TargetMode="External"/><Relationship Id="rId17" Type="http://schemas.openxmlformats.org/officeDocument/2006/relationships/hyperlink" Target="https://owasp.org/Top10/" TargetMode="External"/><Relationship Id="rId18" Type="http://schemas.openxmlformats.org/officeDocument/2006/relationships/hyperlink" Target="https://doi.org/10.1016/j.jss.2023.111899" TargetMode="External"/><Relationship Id="rId19" Type="http://schemas.openxmlformats.org/officeDocument/2006/relationships/hyperlink" Target="https://doi.org/10.6028/NIST.SP.800-218" TargetMode="External"/><Relationship Id="rId20" Type="http://schemas.openxmlformats.org/officeDocument/2006/relationships/hyperlink" Target="https://www.routledge.com/Effective-Methods-for-Software-Engineering/Summers/p/book/9781032474359" TargetMode="External"/><Relationship Id="rId21" Type="http://schemas.openxmlformats.org/officeDocument/2006/relationships/hyperlink" Target="https://www.verizon.com/business/resources/reports/db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 Cybersecurity Awareness and Phishing Simulation System</dc:title>
  <dc:subject/>
  <dc:creator>Desta Jomma</dc:creator>
  <cp:keywords/>
  <dc:description>generated by python-docx</dc:description>
  <cp:lastModifiedBy>Desta Jomma</cp:lastModifiedBy>
  <cp:revision>1</cp:revision>
  <dcterms:created xsi:type="dcterms:W3CDTF">2013-12-23T23:15:00Z</dcterms:created>
  <dcterms:modified xsi:type="dcterms:W3CDTF">2013-12-23T23:15:00Z</dcterms:modified>
  <cp:category/>
</cp:coreProperties>
</file>