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bidi w:val="0"/>
        <w:spacing w:lineRule="auto" w:line="480" w:before="1800" w:after="0"/>
        <w:ind w:hanging="0" w:start="0" w:end="0"/>
        <w:jc w:val="center"/>
        <w:rPr>
          <w:rFonts w:ascii="Times New Roman" w:hAnsi="Times New Roman"/>
        </w:rPr>
      </w:pPr>
      <w:r>
        <w:rPr>
          <w:rFonts w:ascii="Times New Roman" w:hAnsi="Times New Roman"/>
          <w:b/>
          <w:sz w:val="24"/>
        </w:rPr>
        <w:t>Technical Report: Literature Review, Problem Definition, and Design Overview</w:t>
      </w:r>
    </w:p>
    <w:p>
      <w:pPr>
        <w:pStyle w:val="Normal"/>
        <w:bidi w:val="0"/>
        <w:spacing w:lineRule="auto" w:line="480" w:before="0" w:after="0"/>
        <w:ind w:start="0" w:end="0" w:firstLine="0"/>
        <w:jc w:val="center"/>
        <w:rPr>
          <w:rFonts w:ascii="Times New Roman" w:hAnsi="Times New Roman"/>
        </w:rPr>
      </w:pPr>
      <w:r>
        <w:rPr/>
        <w:t>Cybersecurity Awareness and Phishing Simulation System for Small Businesses</w:t>
      </w:r>
    </w:p>
    <w:p>
      <w:pPr>
        <w:pStyle w:val="Normal"/>
        <w:bidi w:val="0"/>
        <w:spacing w:lineRule="auto" w:line="480" w:before="0" w:after="0"/>
        <w:ind w:start="0" w:end="0" w:firstLine="0"/>
        <w:jc w:val="center"/>
        <w:rPr>
          <w:rFonts w:ascii="Times New Roman" w:hAnsi="Times New Roman"/>
        </w:rPr>
      </w:pPr>
      <w:r>
        <w:rPr/>
        <w:t xml:space="preserve">                                                  </w:t>
      </w:r>
      <w:r>
        <w:rPr/>
        <w:t>Desta Jomma</w:t>
      </w:r>
    </w:p>
    <w:p>
      <w:pPr>
        <w:pStyle w:val="Normal"/>
        <w:bidi w:val="0"/>
        <w:spacing w:lineRule="auto" w:line="480" w:before="0" w:after="0"/>
        <w:ind w:start="0" w:end="0" w:firstLine="0"/>
        <w:jc w:val="center"/>
        <w:rPr>
          <w:rFonts w:ascii="Times New Roman" w:hAnsi="Times New Roman"/>
        </w:rPr>
      </w:pPr>
      <w:r>
        <w:rPr/>
        <w:t xml:space="preserve">                                                 </w:t>
      </w:r>
      <w:r>
        <w:rPr/>
        <w:t>University of the People</w:t>
      </w:r>
    </w:p>
    <w:p>
      <w:pPr>
        <w:pStyle w:val="Normal"/>
        <w:bidi w:val="0"/>
        <w:spacing w:lineRule="auto" w:line="480" w:before="0" w:after="0"/>
        <w:ind w:start="0" w:end="0" w:firstLine="0"/>
        <w:jc w:val="center"/>
        <w:rPr>
          <w:rFonts w:ascii="Times New Roman" w:hAnsi="Times New Roman"/>
        </w:rPr>
      </w:pPr>
      <w:hyperlink r:id="rId2" w:tgtFrame="MSIT 5910-01 - AY2027-T1">
        <w:r>
          <w:rPr/>
          <w:t>MSIT 5910-01 - AY2027-T1</w:t>
        </w:r>
      </w:hyperlink>
    </w:p>
    <w:p>
      <w:pPr>
        <w:pStyle w:val="Normal"/>
        <w:bidi w:val="0"/>
        <w:spacing w:lineRule="auto" w:line="480" w:before="0" w:after="0"/>
        <w:ind w:start="0" w:end="0" w:firstLine="0"/>
        <w:jc w:val="center"/>
        <w:rPr>
          <w:rFonts w:ascii="Times New Roman" w:hAnsi="Times New Roman"/>
        </w:rPr>
      </w:pPr>
      <w:r>
        <w:rPr/>
        <w:t xml:space="preserve">                                                  </w:t>
      </w:r>
      <w:r>
        <w:rPr/>
        <w:t>MSIT Capstone Project</w:t>
      </w:r>
    </w:p>
    <w:p>
      <w:pPr>
        <w:pStyle w:val="Normal"/>
        <w:bidi w:val="0"/>
        <w:spacing w:lineRule="auto" w:line="480" w:before="0" w:after="0"/>
        <w:ind w:start="0" w:end="0" w:firstLine="0"/>
        <w:jc w:val="center"/>
        <w:rPr>
          <w:rFonts w:ascii="Times New Roman" w:hAnsi="Times New Roman"/>
        </w:rPr>
      </w:pPr>
      <w:r>
        <w:rPr/>
        <w:t xml:space="preserve">                                               </w:t>
      </w:r>
      <w:r>
        <w:rPr/>
        <w:t>September 2026</w:t>
      </w:r>
    </w:p>
    <w:p>
      <w:pPr>
        <w:pStyle w:val="Heading1"/>
        <w:bidi w:val="0"/>
        <w:spacing w:lineRule="auto" w:line="480" w:before="0" w:after="0"/>
        <w:ind w:start="0" w:end="0" w:firstLine="0"/>
        <w:rPr>
          <w:rFonts w:ascii="Times New Roman" w:hAnsi="Times New Roman"/>
        </w:rPr>
      </w:pPr>
      <w:r>
        <w:rPr>
          <w:b/>
          <w:szCs w:val="24"/>
        </w:rPr>
        <w:t>Abstract</w:t>
      </w:r>
    </w:p>
    <w:p>
      <w:pPr>
        <w:pStyle w:val="Normal"/>
        <w:bidi w:val="0"/>
        <w:spacing w:lineRule="auto" w:line="480" w:before="0" w:after="0"/>
        <w:ind w:hanging="0" w:start="0" w:end="0"/>
        <w:rPr>
          <w:rFonts w:ascii="Times New Roman" w:hAnsi="Times New Roman"/>
          <w:szCs w:val="24"/>
        </w:rPr>
      </w:pPr>
      <w:r>
        <w:rPr>
          <w:szCs w:val="24"/>
        </w:rPr>
        <w:t>Small businesses increasingly depend on email, cloud applications, online payments, shared files, and remote access, yet many operate with limited cybersecurity staffing and resources. This capstone proposes a Cybersecurity Awareness and Phishing Simulation System designed specifically for small companies. The proposed system combines role-based authentication, cybersecurity awareness training, controlled phishing simulations, pre- and post-training assessments, employee reporting, management dashboards, and security auditing. The project addresses a practical problem: employees may encounter phishing and social-engineering attempts without having a consistent mechanism for training, practicing recognition skills, receiving immediate feedback, and measuring improvement. The architecture incorporates security and privacy requirements from the beginning. Data minimization, role-based access control, multifactor authentication, secure password storage, encrypted communication, audit logging, and retention controls are incorporated into the design. The report reviews software-engineering and cybersecurity guidance, defines the problem and requirements, presents the proposed architecture and modules, explains the evaluation approach, and documents the planned development and version-control process. The project is intended as an academic prototype rather than a commercial security product. Its central evaluation question is whether structured awareness training and controlled simulations can improve measurable phishing-awareness behaviors while maintaining employee privacy, trust, usability, and manageable technical complexity for a small business.</w:t>
      </w:r>
    </w:p>
    <w:p>
      <w:pPr>
        <w:pStyle w:val="Heading1"/>
        <w:keepNext/>
        <w:bidi w:val="0"/>
        <w:spacing w:lineRule="auto" w:line="480" w:before="0" w:after="0"/>
        <w:ind w:start="0" w:end="0" w:firstLine="0"/>
        <w:rPr>
          <w:rFonts w:ascii="Times New Roman" w:hAnsi="Times New Roman"/>
          <w:b/>
          <w:szCs w:val="24"/>
        </w:rPr>
      </w:pPr>
      <w:r>
        <w:rPr>
          <w:b/>
          <w:szCs w:val="24"/>
        </w:rPr>
        <w:t>1. Introduction</w:t>
      </w:r>
    </w:p>
    <w:p>
      <w:pPr>
        <w:pStyle w:val="Normal"/>
        <w:numPr>
          <w:ilvl w:val="0"/>
          <w:numId w:val="1"/>
        </w:numPr>
        <w:bidi w:val="0"/>
        <w:spacing w:lineRule="auto" w:line="480" w:after="0"/>
        <w:ind w:hanging="0" w:start="0" w:end="0"/>
        <w:rPr>
          <w:rFonts w:ascii="Times New Roman" w:hAnsi="Times New Roman"/>
          <w:b w:val="false"/>
          <w:bCs w:val="false"/>
          <w:color w:val="auto"/>
          <w:sz w:val="24"/>
          <w:szCs w:val="24"/>
        </w:rPr>
      </w:pPr>
      <w:r>
        <w:rPr>
          <w:b w:val="false"/>
          <w:bCs w:val="false"/>
          <w:color w:val="auto"/>
          <w:sz w:val="24"/>
          <w:szCs w:val="24"/>
        </w:rPr>
        <w:t>Cybersecurity is no longer solely the responsibility of large organizations with budget and staffing allocations to maintain dedicated security operations centers. Small companies also rely on information systems for communication with customers, payments, record-keeping, managing employees, and other essential operations. However, small organizations may lack the expertise, budget, or capacity for ongoing security training. Cyberspace security agencies such as the Cybersecurity and Infrastructure Security Agency (CISA) provide cybersecurity resources for small and medium-sized businesses and recommend cybersecurity measures such as phishing avoidance, strong passwords, multifactor authentication, software updates, logging, backups, and encryption as foundational cybersecurity measures (Cybersecurity and Infrastructure Security Agency [CISA], n.d.). The 2025 Verizon Data Breach Investigations Report confirms that the human element plays a key role in cybersecurity incidents and that credential abuse continues to be an important initial access vector (Verizon, 2025). Together, these circumstances create a pressing need for security-awareness programs that are accessible, measurable, and achievable for smaller organizations. This capstone proposes a Cybersecurity Awareness and Phishing Simulation System for Small Businesses. This system aims to offer an integrated environment in which employees can complete awareness lessons, assessments, practice identifying phishing messages, and report suspicious messages and receive educational feedback. Authorized managers can review aggregated training and simulation results in a dashboard. The system is designed to serve as a decision-support and educational platform rather than an employee-surveillance system. Individual results should remain confidential, used for legitimate training purposes, and retained for as long as necessary. The project reflects a software-engineering approach in which requirements are identified prior to implementation and design decisions are linked to specific objectives. Summers (2020) highlights requirements, software design, configuration management, quality, verification, and validation as key elements of disciplined software engineering. Letaw (2024) offers a similar perspective on software engineering as a set of methods for building sustainable and extensible systems and speaks to requirements, architecture, teamwork, testing, and iterative development. Finally, Davies (2024) highlights the importance of structured design and models for describing how the system works and supporting implementation decisions. These principles apply to the proposed architecture and development process.</w:t>
      </w:r>
    </w:p>
    <w:p>
      <w:pPr>
        <w:pStyle w:val="Heading1"/>
        <w:keepNext/>
        <w:bidi w:val="0"/>
        <w:spacing w:lineRule="auto" w:line="480" w:before="0" w:after="0"/>
        <w:ind w:start="0" w:end="0" w:firstLine="0"/>
        <w:rPr>
          <w:rFonts w:ascii="Times New Roman" w:hAnsi="Times New Roman"/>
          <w:b/>
          <w:szCs w:val="24"/>
        </w:rPr>
      </w:pPr>
      <w:r>
        <w:rPr>
          <w:b/>
          <w:szCs w:val="24"/>
        </w:rPr>
        <w:t>2. Literature Survey</w:t>
      </w:r>
    </w:p>
    <w:p>
      <w:pPr>
        <w:pStyle w:val="Normal"/>
        <w:numPr>
          <w:ilvl w:val="0"/>
          <w:numId w:val="1"/>
        </w:numPr>
        <w:bidi w:val="0"/>
        <w:spacing w:lineRule="auto" w:line="480" w:after="0"/>
        <w:ind w:hanging="0" w:start="0" w:end="0"/>
        <w:rPr>
          <w:rFonts w:ascii="Times New Roman" w:hAnsi="Times New Roman"/>
          <w:b w:val="false"/>
          <w:bCs w:val="false"/>
          <w:color w:val="auto"/>
          <w:sz w:val="24"/>
          <w:szCs w:val="24"/>
        </w:rPr>
      </w:pPr>
      <w:r>
        <w:rPr>
          <w:b w:val="false"/>
          <w:bCs w:val="false"/>
          <w:color w:val="auto"/>
          <w:sz w:val="24"/>
          <w:szCs w:val="24"/>
        </w:rPr>
        <w:t>NIST Special Publication 800-50 Revision 1 offers a particularly relevant foundation for this project. The 2024 guidance outlines a lifecycle approach to building and managing a Cybersecurity and Privacy Learning Program, and it states that the approach is intended for both large and small organizations. It also emphasizes awareness, training, education, behavior change, security culture, privacy, and metrics for evaluating and improving a program (Merritt et al., 2024). This guidance supports the capstone's decision to treat cybersecurity awareness as an ongoing learning process rather than a single annual training event. The proposed system therefore includes baseline assessment, training, simulation, feedback, and post-training measurement. CISA also offers guidance targeted at small and medium-sized businesses. Its small-business resources emphasize phishing avoidance, strong passwords, multifactor authentication, software updates, logging, backups, and encryption (CISA, n.d.). CISA's phishing guidance further recommends cybersecurity awareness and training, and it emphasizes that small businesses need approaches that are feasible when dedicated security staff are limited (CISA, 2025). These recommendations are directly relevant to the proposed system because the target environment is a small company that may not have a large security-awareness team. The importance of phishing awareness is also supported by CISA's guidance on ransomware and phishing. CISA identifies phishing as an initial access vector and recommends user awareness and training that helps employees to identify and report suspicious activity (CISA, n.d.). A useful awareness system should therefore teach how to recognize a suspicious message and what action to take after recognition. The proposed system includes a reporting function and immediate educational feedback so that employees can practice the desired behavior. Verizon's 2025 DBIR offers broader empirical context. The report analyzed more than 22,000 security incidents, including 12,195 confirmed breaches, and it reported that credential abuse accounted for 22% of breaches while exploitation of vulnerabilities accounted for 20% (Verizon, 2025). Verizon also reports that the human element is involved in a substantial portion of breaches (Verizon, 2025). These findings do not imply that training alone can prevent breaches, rather, they support the need to combine user awareness with technical controls such as MFA, access control, secure configuration, monitoring, and incident response. The software architecture literature also informs the design. Walker (2022) explains that architecture patterns offer reusable structures for recurring software-design problems. The proposed system uses a layered architecture because separating presentation, application services, security, and data responsibilities can improve maintainability and make security controls easier to reason about. Letaw (2024) includes architecture choices, requirements, UML diagrams, project management, and testing in software engineering methods. Davies (2024) discusses design descriptions, UML, use cases, persistence, and team software development. Together, these sources support using explicit architecture and module boundaries rather than treating the prototype as an unstructured collection of screens and scripts. Security architecture is also informed by OWASP. The OWASP Top 10 identifies broken access control, cryptographic failures, insecure design, identification and authentication failures, and security logging and monitoring failures among major web-application risks (OWASP Foundation, 2021). For the proposed system, access control must be enforced on the server rather than relying on hidden user-interface controls. Authentication must include secure password handling and appropriate session management. Security-relevant events should be logged so that administrative activity can be reviewed. These principles are incorporated into the architecture rather than postponed until testing. The literature therefore supports four central design principles. First, awareness should be continuous and measurable. Second, small organizations need practical controls that do not require excessive technical administration. Third, training should be combined with technical protections such as MFA and secure authentication. Fourth, privacy and security should be integrated into the system architecture. The gap addressed by this capstone is not the absence of cybersecurity training resources generally, rather, the project explores how an integrated, small-business-oriented prototype can combine learning, controlled practice, measurement, feedback, and secure administration in one manageable system.</w:t>
      </w:r>
    </w:p>
    <w:p>
      <w:pPr>
        <w:pStyle w:val="Heading1"/>
        <w:keepNext/>
        <w:bidi w:val="0"/>
        <w:spacing w:lineRule="auto" w:line="480" w:before="0" w:after="0"/>
        <w:ind w:start="0" w:end="0" w:firstLine="0"/>
        <w:rPr>
          <w:rFonts w:ascii="Times New Roman" w:hAnsi="Times New Roman"/>
          <w:b/>
          <w:szCs w:val="24"/>
        </w:rPr>
      </w:pPr>
      <w:r>
        <w:rPr>
          <w:b/>
          <w:szCs w:val="24"/>
        </w:rPr>
        <w:t>3. Problem Statement</w:t>
      </w:r>
    </w:p>
    <w:p>
      <w:pPr>
        <w:pStyle w:val="Normal"/>
        <w:numPr>
          <w:ilvl w:val="0"/>
          <w:numId w:val="1"/>
        </w:numPr>
        <w:bidi w:val="0"/>
        <w:spacing w:lineRule="auto" w:line="480" w:after="0"/>
        <w:ind w:hanging="0" w:start="0" w:end="0"/>
        <w:rPr>
          <w:rFonts w:ascii="Times New Roman" w:hAnsi="Times New Roman"/>
          <w:b w:val="false"/>
          <w:bCs w:val="false"/>
          <w:color w:val="auto"/>
          <w:sz w:val="24"/>
          <w:szCs w:val="24"/>
        </w:rPr>
      </w:pPr>
      <w:r>
        <w:rPr>
          <w:b w:val="false"/>
          <w:bCs w:val="false"/>
          <w:color w:val="auto"/>
          <w:sz w:val="24"/>
          <w:szCs w:val="24"/>
        </w:rPr>
        <w:t>Small companies often rely on email and cloud services as integral business tools, which makes their staff members the first line of defense against cyber-attacks. At the same time, an underfunded small organization that does not have a dedicated security-awareness platform and specialized training tools may utilize email and occasional reminders as substitutes for enterprise-level cybersecurity training products. Such methods may educate employees but typically offer little in the way of actionable feedback or metrics that could help management determine whether phishing simulations were successful and if employee readiness regarding cybersecurity has improved. The described deficiency is the central problem that the proposed capstone project seeks to address. The new system would give small companies an end-to-end solution that could standardize and streamline cybersecurity awareness training, conduct phishing simulations, report relevant insights to management, and collect employee feedback. Employees would still be responsible for their actions, and the described solution would not be a deciding factor in cases of suspected deception. However, the system would standardize employee training, reducing the likelihood of human error and helping organizations comply with regulatory requirements and industry standards. The proposed system would be privacy-focused, report mostly aggregated data to managerial personnel, and use employee performance in simulations as a metric to identify opportunities for improvement. In this capacity, it would align with NIST guidelines by focusing on learning, awareness, and measurement while emphasizing privacy and discouraging punishment (Merritt et al., 2024).</w:t>
      </w:r>
    </w:p>
    <w:p>
      <w:pPr>
        <w:pStyle w:val="Heading1"/>
        <w:keepNext/>
        <w:bidi w:val="0"/>
        <w:spacing w:lineRule="auto" w:line="480" w:before="0" w:after="0"/>
        <w:ind w:start="0" w:end="0" w:firstLine="0"/>
        <w:rPr>
          <w:rFonts w:ascii="Times New Roman" w:hAnsi="Times New Roman"/>
          <w:b/>
          <w:szCs w:val="24"/>
        </w:rPr>
      </w:pPr>
      <w:r>
        <w:rPr>
          <w:b/>
          <w:szCs w:val="24"/>
        </w:rPr>
        <w:t>4. Purpose, Objectives, and Research Questions</w:t>
      </w:r>
    </w:p>
    <w:p>
      <w:pPr>
        <w:pStyle w:val="Normal"/>
        <w:numPr>
          <w:ilvl w:val="0"/>
          <w:numId w:val="1"/>
        </w:numPr>
        <w:bidi w:val="0"/>
        <w:spacing w:lineRule="auto" w:line="480" w:after="0"/>
        <w:ind w:hanging="0" w:start="0" w:end="0"/>
        <w:rPr>
          <w:rFonts w:ascii="Times New Roman" w:hAnsi="Times New Roman"/>
          <w:b w:val="false"/>
          <w:bCs w:val="false"/>
          <w:color w:val="auto"/>
          <w:sz w:val="24"/>
          <w:szCs w:val="24"/>
        </w:rPr>
      </w:pPr>
      <w:r>
        <w:rPr>
          <w:b w:val="false"/>
          <w:bCs w:val="false"/>
          <w:color w:val="auto"/>
          <w:sz w:val="24"/>
          <w:szCs w:val="24"/>
        </w:rPr>
        <w:t>The aim of the project is to design, implement, and evaluate a prototype of a cybersecurity-awareness platform that would allow small businesses to organize training and conduct phishing simulations securely, privately, conveniently, and with limited administrative and technical overhead. There are five objectives to achieve in the project. Firstly, define requirements, both functional and non-functional, that such a small-business awareness system should fulfill. Secondly, design the system’s architecture, which would feature segregated modules for user interaction, applications, security, and data storage. Thirdly, implement the prototype that would include features for training, testing, phishing simulations, reporting, and administration. Fourthly, evaluate if the developed prototype would be able to track awareness levels and report behaviors in a way that would be demonstrative of changes in the users’ awareness. Finally, describe security, privacy, ethics, version control, testing, project management, and any other relevant procedures and practices applicable to the project. The main research question that the project will address is how a cybersecurity awareness and phishing-simulation system can help small-business employees identify and report phishing attempts in a manner that would increase their level of cybersecurity awareness without compromising their privacy and trust in the system. The following questions should be addressed to answer the main question. Firstly, what features and security requirements should a small-business cybersecurity awareness platform possess? Secondly, what metrics can be used to track and report changes in the level of cybersecurity awareness in an employee base without spying on their personal data? Thirdly, how can a phishing-simulation system be designed to train and not penalize the users for their mistakes? And finally, how can the system’s architecture be designed to be simple enough to host and maintain for a small business?</w:t>
      </w:r>
    </w:p>
    <w:p>
      <w:pPr>
        <w:pStyle w:val="Heading1"/>
        <w:keepNext/>
        <w:bidi w:val="0"/>
        <w:spacing w:lineRule="auto" w:line="480" w:before="0" w:after="0"/>
        <w:ind w:start="0" w:end="0" w:firstLine="0"/>
        <w:rPr>
          <w:rFonts w:ascii="Times New Roman" w:hAnsi="Times New Roman"/>
          <w:b/>
          <w:szCs w:val="24"/>
        </w:rPr>
      </w:pPr>
      <w:r>
        <w:rPr>
          <w:b/>
          <w:szCs w:val="24"/>
        </w:rPr>
        <w:t>5. System Requirements</w:t>
      </w:r>
    </w:p>
    <w:p>
      <w:pPr>
        <w:pStyle w:val="Normal"/>
        <w:numPr>
          <w:ilvl w:val="0"/>
          <w:numId w:val="1"/>
        </w:numPr>
        <w:bidi w:val="0"/>
        <w:spacing w:lineRule="auto" w:line="480" w:after="0"/>
        <w:ind w:hanging="0" w:start="0" w:end="0"/>
        <w:rPr>
          <w:rFonts w:ascii="Times New Roman" w:hAnsi="Times New Roman"/>
          <w:b w:val="false"/>
          <w:bCs w:val="false"/>
          <w:color w:val="auto"/>
          <w:sz w:val="24"/>
          <w:szCs w:val="24"/>
        </w:rPr>
      </w:pPr>
      <w:r>
        <w:rPr>
          <w:b w:val="false"/>
          <w:bCs w:val="false"/>
          <w:color w:val="auto"/>
          <w:sz w:val="24"/>
          <w:szCs w:val="24"/>
        </w:rPr>
        <w:t>Requirements represent the basis for architecture and implementation. Summers (2020) highlights requirements and standards as core elements of software engineering. The proposed requirements were derived from the problem statement, the literature review, security principles, and the needs of three user groups: employees, security or training managers, and administrators. Employee requirements include secure login, access to assigned training, completion tracking, assessment participation, phishing-simulation participation, and reporting of suspected phishing. Employees should receive clear feedback and should not be exposed to other employees’ results. Training content should be written in plain language and should address practical behaviors such as verifying unexpected requests, inspecting links, avoiding suspicious attachments, protecting passwords, using MFA, and reporting incidents. Manager requirements include creation and assignment of training, configuration of approved simulation scenarios, review of aggregate results, identification of training topics requiring reinforcement, and access to reports appropriate to the manager’s role. Administrator requirements include account management, role assignment, system configuration, audit-log review, content management, and security settings. These privileges should be separated because not every user who manages training needs access to system-wide security configuration. Non-functional requirements are equally important. Security requires authentication, authorization, secure password storage, MFA where supported, encrypted communications, session expiration, input validation, secure logging, and protection against common web-application weaknesses. Privacy requires data minimization, limited retention, transparent notices, and restricted access to individual results. Usability requires clear navigation and understandable messages. Performance requires responsive common operations for the expected small-business workload. Reliability requires consistent storage of training and assessment results. Maintainability requires modular code and documentation. Scalability requires that the system support additional users and training content without major redesign. Accessibility requires readable content, clear controls, and understandable feedback.</w:t>
      </w:r>
    </w:p>
    <w:p>
      <w:pPr>
        <w:pStyle w:val="Heading1"/>
        <w:keepNext/>
        <w:bidi w:val="0"/>
        <w:spacing w:lineRule="auto" w:line="480" w:before="0" w:after="0"/>
        <w:ind w:start="0" w:end="0" w:firstLine="0"/>
        <w:rPr>
          <w:rFonts w:ascii="Times New Roman" w:hAnsi="Times New Roman"/>
          <w:b/>
          <w:szCs w:val="24"/>
        </w:rPr>
      </w:pPr>
      <w:r>
        <w:rPr>
          <w:b/>
          <w:szCs w:val="24"/>
        </w:rPr>
        <w:t>6. System Architecture and Design Overview</w:t>
      </w:r>
    </w:p>
    <w:p>
      <w:pPr>
        <w:pStyle w:val="Normal"/>
        <w:numPr>
          <w:ilvl w:val="0"/>
          <w:numId w:val="1"/>
        </w:numPr>
        <w:bidi w:val="0"/>
        <w:spacing w:lineRule="auto" w:line="480" w:after="0"/>
        <w:ind w:hanging="0" w:start="0" w:end="0"/>
        <w:rPr>
          <w:rFonts w:ascii="Times New Roman" w:hAnsi="Times New Roman"/>
          <w:b w:val="false"/>
          <w:bCs w:val="false"/>
          <w:color w:val="auto"/>
          <w:sz w:val="24"/>
          <w:szCs w:val="24"/>
        </w:rPr>
      </w:pPr>
      <w:r>
        <w:rPr>
          <w:b w:val="false"/>
          <w:bCs w:val="false"/>
          <w:color w:val="auto"/>
          <w:sz w:val="24"/>
          <w:szCs w:val="24"/>
        </w:rPr>
        <w:t>The proposed system would use a layered architecture that would include presentation, application, security, and data components. In particular, the presentation layer would comprise the employee, manager, and administrator portals. The application layer would house training, phishing-simulation, assessment, reporting, and content-management services. A security layer would handle authentication, role-based access control, session management, and auditing. Finally, the data layer would store the user accounts, training records, assessments, simulation events, and audit logs. The architecture was selected because it decouples concerns. For example, the presentation components would not directly access the database. Instead, the application layer would receive requests from the presentation, apply business logic and authorization rules, and write data to the data layer. This architecture is beneficial for testing and prevents casual tampering with the database via the user interface. In particular, OWASP recommends that developers enforce access control in trusted server-side code and deny-by-default policies (OWASP Foundation, 2021). The proposed architecture aligns with this recommendation.</w:t>
      </w:r>
    </w:p>
    <w:p>
      <w:pPr>
        <w:pStyle w:val="Normal"/>
        <w:numPr>
          <w:ilvl w:val="0"/>
          <w:numId w:val="1"/>
        </w:numPr>
        <w:bidi w:val="0"/>
        <w:spacing w:lineRule="auto" w:line="480" w:after="0"/>
        <w:ind w:hanging="0" w:start="0" w:end="0"/>
        <w:rPr>
          <w:rFonts w:ascii="Times New Roman" w:hAnsi="Times New Roman"/>
          <w:b w:val="false"/>
          <w:bCs w:val="false"/>
          <w:color w:val="auto"/>
          <w:sz w:val="24"/>
          <w:szCs w:val="24"/>
        </w:rPr>
      </w:pPr>
      <w:r>
        <w:rPr>
          <w:b w:val="false"/>
          <w:bCs w:val="false"/>
          <w:color w:val="auto"/>
          <w:sz w:val="24"/>
          <w:szCs w:val="24"/>
        </w:rPr>
        <w:t>Specifically, the authentication service would be responsible for verifying user credentials and establishing a secure session. For the time being, it would suffice to store the user passwords using a modern salted password-hashing algorithm instead of plaintext or reversible encryption. Additionally, multi-factor authentication (MFA) could be enabled by default for privileged accounts and, if technically feasible, all users. The session tokens should be generated using a cryptographically secure random number generator, protected on the server, invalidated on logout, and expired after a reasonable period of inactivity. These recommendations are consistent with OWASP guidelines for authentication and session management (OWASP Foundation, 2021). Notably, CISA recommends that small businesses consider using MFA wherever possible and encourage users to leverage more secure phishing-resistant authentication options, if available (CISA, n.d.).</w:t>
      </w:r>
    </w:p>
    <w:p>
      <w:pPr>
        <w:pStyle w:val="Normal"/>
        <w:numPr>
          <w:ilvl w:val="0"/>
          <w:numId w:val="1"/>
        </w:numPr>
        <w:bidi w:val="0"/>
        <w:spacing w:lineRule="auto" w:line="480" w:after="0"/>
        <w:ind w:hanging="0" w:start="0" w:end="0"/>
        <w:rPr>
          <w:rFonts w:ascii="Times New Roman" w:hAnsi="Times New Roman"/>
          <w:b w:val="false"/>
          <w:bCs w:val="false"/>
          <w:color w:val="auto"/>
          <w:sz w:val="24"/>
          <w:szCs w:val="24"/>
        </w:rPr>
      </w:pPr>
      <w:r>
        <w:rPr>
          <w:b w:val="false"/>
          <w:bCs w:val="false"/>
          <w:color w:val="auto"/>
          <w:sz w:val="24"/>
          <w:szCs w:val="24"/>
        </w:rPr>
        <w:t>The training service would deliver lessons and track their completion. A lesson could be as simple as a brief explanation, examples, a knowledge check, and a reporting exercise. The training content would cover phishing awareness, social engineering, password and MFA security, safe web browsing practices, suspicious attachments, business email compromise, and incident reporting. The model would be designed in a way that would allow a small business to update or replace individual lessons without overhauling the training application. The phishing-simulation service would be responsible for maintaining approved phishing-simulation templates and recipient groups. A phishing simulation always involves a controlled deception effort that should not capture real credentials. The service would store only the information necessary for post-simulation reporting, such as records of delivered simulation emails, user interactions, reports, and completed training modules. An appropriate landing page for a deceptive simulation should quickly inform the user that this was a test and provide a brief summary of what they should look out for in the future. According to CISA’s recommendations, phishing awareness and simulation are valuable tools that can be used within a broader training approach (CISA, 2025).</w:t>
      </w:r>
    </w:p>
    <w:p>
      <w:pPr>
        <w:pStyle w:val="Normal"/>
        <w:numPr>
          <w:ilvl w:val="0"/>
          <w:numId w:val="1"/>
        </w:numPr>
        <w:bidi w:val="0"/>
        <w:spacing w:lineRule="auto" w:line="480" w:after="0"/>
        <w:ind w:hanging="0" w:start="0" w:end="0"/>
        <w:rPr>
          <w:rFonts w:ascii="Times New Roman" w:hAnsi="Times New Roman"/>
          <w:b w:val="false"/>
          <w:bCs w:val="false"/>
          <w:color w:val="auto"/>
          <w:sz w:val="24"/>
          <w:szCs w:val="24"/>
        </w:rPr>
      </w:pPr>
      <w:r>
        <w:rPr>
          <w:b w:val="false"/>
          <w:bCs w:val="false"/>
          <w:color w:val="auto"/>
          <w:sz w:val="24"/>
          <w:szCs w:val="24"/>
        </w:rPr>
        <w:t>The assessment service would include pre-training and post-training assessments that would measure the learner’s knowledge of the material covered in the lessons. The same or similar questions could be used to calculate the improvement. The reporting service would then calculate relevant metrics, such as training-completion rate, mean assessment score, phishing interaction rate, phishing-reporting rate, and the change in knowledge as measured by the comparison of pre-training and post-training assessments. Individual results might be visible only to the users who took the assessments and the management while the portal dashboards would display aggregated metrics. This would limit privacy exposure while still providing employees with an opportunity to gauge their performance. The audit service would record relevant security-related events, such as successful and failed logon attempts, changes to user roles, configuration changes to sensitive services, report-generation events, and other privileged activities. According to OWASP guidelines, insufficient logging and monitoring is an active application security risk, and the authors recommend designing procedures that would allow relevant audit trails to have sufficient context and protection (OWASP Foundation, 2021). Similarly, CISA recommends that organizations configure their platforms to log user activity, administrative events, application activity, and system-level events (CISA, n.d.). Therefore, the prototype would treat the auditing-feature set as a security priority.</w:t>
      </w:r>
    </w:p>
    <w:p>
      <w:pPr>
        <w:pStyle w:val="Heading1"/>
        <w:keepNext/>
        <w:bidi w:val="0"/>
        <w:spacing w:lineRule="auto" w:line="480" w:before="0" w:after="0"/>
        <w:ind w:start="0" w:end="0" w:firstLine="0"/>
        <w:rPr>
          <w:rFonts w:ascii="Times New Roman" w:hAnsi="Times New Roman"/>
          <w:b/>
          <w:szCs w:val="24"/>
        </w:rPr>
      </w:pPr>
      <w:r>
        <w:rPr>
          <w:b/>
          <w:szCs w:val="24"/>
        </w:rPr>
        <w:t>7. Module Design and Functional Specifications</w:t>
      </w:r>
    </w:p>
    <w:p>
      <w:pPr>
        <w:pStyle w:val="Normal"/>
        <w:numPr>
          <w:ilvl w:val="0"/>
          <w:numId w:val="1"/>
        </w:numPr>
        <w:bidi w:val="0"/>
        <w:spacing w:lineRule="auto" w:line="480" w:after="0"/>
        <w:ind w:hanging="0" w:start="0" w:end="0"/>
        <w:rPr>
          <w:rFonts w:ascii="Times New Roman" w:hAnsi="Times New Roman"/>
          <w:b w:val="false"/>
          <w:bCs w:val="false"/>
          <w:color w:val="auto"/>
          <w:sz w:val="24"/>
          <w:szCs w:val="24"/>
        </w:rPr>
      </w:pPr>
      <w:r>
        <w:rPr>
          <w:b w:val="false"/>
          <w:bCs w:val="false"/>
          <w:color w:val="auto"/>
          <w:sz w:val="24"/>
          <w:szCs w:val="24"/>
        </w:rPr>
        <w:t>The authentication and authorization module was built using the inputs of a username/email, password, and optional MFA factor, and it produces an authenticated session with a role as an output. Its process includes hashing passwords, authenticating credentials, MFA verification, setting session timeouts, and server-side role-based access control. This module should deny all unauthorized requests, even if a user tries to guess a URL of a restricted resource. The training module uses a selected course and an employee’s authenticated session as inputs and allows producing lesson progress, completion status, and assessment results as outputs. Its process involves breaking courses into lessons with examples, knowledge checks, and completion statuses. Training records should include timestamps and course identifiers without storing additional information about employees’ personal data. The phishing simulation module was designed to take a scenario, target audience, and schedule as inputs and produce simulation results like messages sent, opened, reported, and followed-up education as outputs. The process involves designing scenarios, sending test emails to employees, and analyzing employee reactions while keeping production infrastructure segregated from the test environment. The scenarios should not include any sensitive or confidential information and should reflect realistic dangers without causing shame or embarrassment. The assessment module was built to use employee answers as inputs and produce scores and topic analysis as outputs. Its process includes measuring employees’ knowledge before and after the training to determine if their scores improved. The results can be used to compare employee groups; therefore, the module should not rely on individual results to determine an employee’s level of competency. The reporting module was designed to ingest training, assessment, and phishing results data and produce dashboards and reports as outputs. Its process involves analyzing training data, filtering and aggregating reports, and generating insights. A manager can review their team’s training progress, while employees can see only their own training data. This way, the module secures privacy and follows the least privilege principle. The security and audit module was built to take security-related events and privileged actions as inputs and produce logs and reports as outputs. Its process includes auditing privileged actions, analyzing logs, establishing retention policies, and implementing visibility and control measures. The data layer stores all data that the application needs while keeping logs protected and following encryption and backup policies specific to the prototype environment.</w:t>
      </w:r>
    </w:p>
    <w:p>
      <w:pPr>
        <w:pStyle w:val="Heading1"/>
        <w:keepNext/>
        <w:bidi w:val="0"/>
        <w:spacing w:lineRule="auto" w:line="480" w:before="0" w:after="0"/>
        <w:ind w:start="0" w:end="0" w:firstLine="0"/>
        <w:rPr>
          <w:rFonts w:ascii="Times New Roman" w:hAnsi="Times New Roman"/>
          <w:b/>
          <w:szCs w:val="24"/>
        </w:rPr>
      </w:pPr>
      <w:r>
        <w:rPr>
          <w:b/>
          <w:szCs w:val="24"/>
        </w:rPr>
        <w:t>8. Security, Privacy, and Ethical Design</w:t>
      </w:r>
    </w:p>
    <w:p>
      <w:pPr>
        <w:pStyle w:val="Normal"/>
        <w:numPr>
          <w:ilvl w:val="0"/>
          <w:numId w:val="1"/>
        </w:numPr>
        <w:bidi w:val="0"/>
        <w:spacing w:lineRule="auto" w:line="480" w:after="0"/>
        <w:ind w:hanging="0" w:start="0" w:end="0"/>
        <w:rPr>
          <w:rFonts w:ascii="Times New Roman" w:hAnsi="Times New Roman"/>
          <w:b w:val="false"/>
          <w:bCs w:val="false"/>
          <w:color w:val="auto"/>
          <w:sz w:val="24"/>
          <w:szCs w:val="24"/>
        </w:rPr>
      </w:pPr>
      <w:r>
        <w:rPr>
          <w:b w:val="false"/>
          <w:bCs w:val="false"/>
          <w:color w:val="auto"/>
          <w:sz w:val="24"/>
          <w:szCs w:val="24"/>
        </w:rPr>
        <w:t>Security and ethics are embedded into the design rather than tacked onto the implementation. The system handles employee identities, training records, and simulation results, so the potential for inappropriate access can lead to confidentiality and trust issues. The system's first principle is data minimization. The system should collect only information necessary for operating the training program and assessing its objectives. Real-world passwords, sensitive personal content, and irrelevant email content should never be collected by a simulation. The system's second principle is least privilege. Employees should access their training and results. Managers should access the information needed to deliver training to their authorized group. Administrators should have broader technical privileges over those areas but should not necessarily have unrestricted access to everything an employee-level user would see, unless their job requires it. OWASP highlights broken access control as a significant risk and recommends deny-by-default and server-side enforcement (OWASP Foundation, 2021). The system's third principle is transparency. Employees should get a clear notice outlining awareness training's purpose, the data collected, how simulation results are used, and how long the records are kept. The program should communicate that simulations test employees' education rather than punish them for mistakes. It promotes trust and fits well with NIST's focus on privacy and security culture (Merritt et al., 2024). The system's fourth principle is fairness. A phishing simulation should not be used as an automatic justification for disciplinary action or employment decisions. Employees can get mixed messages, face unique business demands, and have limited accessibility. The system, therefore, should report trends and learning needs rather than suggest that the user was careless or dishonest. Immediate feedback can point out the warning signs and encourage the reporter to share them. The system's fifth principle is secure administration. Administrative functions should employ MFA where feasible, secure sessions, authorization checks, audit logging, and protected configuration. Sensitive functions should get logged. OWASP recommends meaningful logging of authentication events, access-control violations, and high-value operations with integrity protections for audit trails (OWASP Foundation, 2021).</w:t>
      </w:r>
    </w:p>
    <w:p>
      <w:pPr>
        <w:pStyle w:val="Heading1"/>
        <w:keepNext/>
        <w:bidi w:val="0"/>
        <w:spacing w:lineRule="auto" w:line="480" w:before="0" w:after="0"/>
        <w:ind w:start="0" w:end="0" w:firstLine="0"/>
        <w:rPr>
          <w:rFonts w:ascii="Times New Roman" w:hAnsi="Times New Roman"/>
          <w:b/>
          <w:szCs w:val="24"/>
        </w:rPr>
      </w:pPr>
      <w:r>
        <w:rPr>
          <w:b/>
          <w:szCs w:val="24"/>
        </w:rPr>
        <w:t>9. Evaluation Methodology</w:t>
      </w:r>
    </w:p>
    <w:p>
      <w:pPr>
        <w:pStyle w:val="Normal"/>
        <w:numPr>
          <w:ilvl w:val="0"/>
          <w:numId w:val="1"/>
        </w:numPr>
        <w:bidi w:val="0"/>
        <w:spacing w:lineRule="auto" w:line="480" w:after="0"/>
        <w:ind w:hanging="0" w:start="0" w:end="0"/>
        <w:rPr>
          <w:rFonts w:ascii="Times New Roman" w:hAnsi="Times New Roman"/>
          <w:b w:val="false"/>
          <w:bCs w:val="false"/>
          <w:color w:val="auto"/>
          <w:sz w:val="24"/>
          <w:szCs w:val="24"/>
        </w:rPr>
      </w:pPr>
      <w:r>
        <w:rPr>
          <w:b w:val="false"/>
          <w:bCs w:val="false"/>
          <w:color w:val="auto"/>
          <w:sz w:val="24"/>
          <w:szCs w:val="24"/>
        </w:rPr>
        <w:t>The evaluation will make do with a controlled prototype study instead of a live production deployment. A minor synthetic or volunteer test population may be used for academic testing. The first stage will be a baseline assessment measuring knowledge of phishing indicators, password practices, multifactor authentication (MFA), and reporting procedures. The second stage will provide awareness training. The third stage will perform a controlled phishing simulation. The fourth stage will provide feedback and targeted training. A post-training assessment and a later simulation may then be used to examine changes. Primary metrics will include training completion rate, pre-training assessment score, post-training assessment score, simulation interaction rate, simulation reporting rate, and a change in reporting behavior. Secondary metrics will include completion time, user-reported usability, and administrative effort. The project should avoid interpreting a single metric in isolation. For instance, a lower click rate may indicate improvement, but a high reporting rate provides additional evidence that the employees know what to do when they see a suspicious message. The evaluation should also examine the privacy and security requirements. Test cases should verify that the employees cannot access another employee’s records, that the managers cannot access the administrator functions, that the expired sessions cannot be reused, that the passwords are not stored in plaintext, and that the security-relevant actions generate audit records. Functional testing should verify the training completion, simulation events, reporting, dashboards, and content updates. Usability evaluation may make do with a short questionnaire addressing the navigation, clarity, readability, feedback, and perceived usefulness. The goal is not to claim that the prototype proves the long-term behavioral changes. Instead, the evaluation will aim to determine whether the prototype operates correctly and whether the observable training indicators change in the intended direction within the controlled academic test.</w:t>
      </w:r>
    </w:p>
    <w:p>
      <w:pPr>
        <w:pStyle w:val="Heading1"/>
        <w:keepNext/>
        <w:bidi w:val="0"/>
        <w:spacing w:lineRule="auto" w:line="480" w:before="0" w:after="0"/>
        <w:ind w:start="0" w:end="0" w:firstLine="0"/>
        <w:rPr>
          <w:rFonts w:ascii="Times New Roman" w:hAnsi="Times New Roman"/>
          <w:b/>
          <w:szCs w:val="24"/>
        </w:rPr>
      </w:pPr>
      <w:r>
        <w:rPr>
          <w:b/>
          <w:szCs w:val="24"/>
        </w:rPr>
        <w:t>10. Version Control and Collaboration</w:t>
      </w:r>
    </w:p>
    <w:p>
      <w:pPr>
        <w:pStyle w:val="Normal"/>
        <w:bidi w:val="0"/>
        <w:spacing w:lineRule="auto" w:line="480" w:before="0" w:after="0"/>
        <w:ind w:hanging="0" w:start="0" w:end="0"/>
        <w:rPr>
          <w:rFonts w:ascii="Times New Roman" w:hAnsi="Times New Roman"/>
          <w:szCs w:val="24"/>
        </w:rPr>
      </w:pPr>
      <w:r>
        <w:rPr>
          <w:szCs w:val="24"/>
        </w:rPr>
        <w:t>Git and GitHub will be used to provide version control and traceability. The repository will separate source code, documentation, diagrams, tests, and configuration. The main branch will contain stable versions, while development will contain active integration work. Feature branches can be created for individual modules such as authentication, training, phishing simulation, reporting, or security logging. Pull requests can be used to review changes before merging.</w:t>
      </w:r>
    </w:p>
    <w:p>
      <w:pPr>
        <w:pStyle w:val="Normal"/>
        <w:bidi w:val="0"/>
        <w:spacing w:lineRule="auto" w:line="480" w:before="0" w:after="0"/>
        <w:ind w:hanging="0" w:start="0" w:end="0"/>
        <w:rPr>
          <w:rFonts w:ascii="Times New Roman" w:hAnsi="Times New Roman"/>
          <w:szCs w:val="24"/>
        </w:rPr>
      </w:pPr>
      <w:r>
        <w:rPr>
          <w:szCs w:val="24"/>
        </w:rPr>
        <w:t>Commit messages will be specific and meaningful. Examples include “Create employee authentication module,” “Add phishing simulation event tracking,” “Implement role-based dashboard,” “Add audit logging,” and “Update technical report.” Documentation changes will be committed alongside the related design decisions when appropriate. This history creates an evidence trail showing how requirements, design, implementation, and corrections evolved.</w:t>
      </w:r>
    </w:p>
    <w:p>
      <w:pPr>
        <w:pStyle w:val="Normal"/>
        <w:bidi w:val="0"/>
        <w:spacing w:lineRule="auto" w:line="480" w:before="0" w:after="0"/>
        <w:ind w:hanging="0" w:start="0" w:end="0"/>
        <w:rPr>
          <w:rFonts w:ascii="Times New Roman" w:hAnsi="Times New Roman"/>
          <w:szCs w:val="24"/>
        </w:rPr>
      </w:pPr>
      <w:r>
        <w:rPr>
          <w:szCs w:val="24"/>
        </w:rPr>
        <w:t>Version control is particularly important for an academic capstone because requirements and documentation change throughout the project. A controlled repository reduces the risk of losing earlier work and makes it possible to identify which version of the prototype was evaluated. It also supports collaboration if additional contributors review diagrams, documentation, or code. Summers (2020) identifies configuration management and controlled change as important software-engineering practices, while Letaw (2024) addresses teamwork and sustainable development methods. Git and GitHub will be utilized to ensure version control and traceability. The repository will store the source code, documentation, diagrams, tests, and configuration. The main branch will store stable versions of the code, whereas development will host the integration commits. The feature branches can be created to develop and design modules such as authentication, training, phishing simulations, reporting, and security logging independently. The pull requests will be made to review and approve changes before merging them into the main branch. Moreover, the commit messages will indicate the exact implementation or specification, for instance, “Create employee authentication module,” “Add phishing simulation event tracking,” “Implement role-based dashboard,”Add audit logging,” or “Update technical report.” In addition, documentation updates will be committed alongside the code changes if they document a particular design decision. Overall, the repository will offer traceability by storing the evidence of all requirements, design decisions, implementation details, and modifications.</w:t>
      </w:r>
    </w:p>
    <w:p>
      <w:pPr>
        <w:pStyle w:val="Normal"/>
        <w:bidi w:val="0"/>
        <w:spacing w:lineRule="auto" w:line="480" w:before="0" w:after="0"/>
        <w:ind w:hanging="0" w:start="0" w:end="0"/>
        <w:rPr>
          <w:rFonts w:ascii="Times New Roman" w:hAnsi="Times New Roman"/>
          <w:szCs w:val="24"/>
        </w:rPr>
      </w:pPr>
      <w:r>
        <w:rPr>
          <w:szCs w:val="24"/>
        </w:rPr>
        <w:t>The version control repository will be particularly beneficial for the academic capstone, given that requirements and documentation will be changing throughout the project’s development. In this manner, the repository will prevent the loss of the previous versions of the prototype and facilitate their comparison if necessary. Furthermore, the repository will be helpful if other contributors request access to review the project’s documentation, diagrams, or code. Both Summers  (2020) and Letaw (2024) address the concept of configuration management and controlled change in software development, whereas the latter also discusses teamwork and sustainable development practices.</w:t>
      </w:r>
    </w:p>
    <w:p>
      <w:pPr>
        <w:pStyle w:val="Heading1"/>
        <w:keepNext/>
        <w:bidi w:val="0"/>
        <w:spacing w:lineRule="auto" w:line="480" w:before="0" w:after="0"/>
        <w:ind w:start="0" w:end="0" w:firstLine="0"/>
        <w:rPr>
          <w:rFonts w:ascii="Times New Roman" w:hAnsi="Times New Roman"/>
          <w:b/>
          <w:szCs w:val="24"/>
        </w:rPr>
      </w:pPr>
      <w:r>
        <w:rPr>
          <w:b/>
          <w:szCs w:val="24"/>
        </w:rPr>
        <w:t>11. Development Progress and Project Management</w:t>
      </w:r>
    </w:p>
    <w:p>
      <w:pPr>
        <w:pStyle w:val="Normal"/>
        <w:bidi w:val="0"/>
        <w:spacing w:lineRule="auto" w:line="480" w:before="0" w:after="0"/>
        <w:ind w:hanging="0" w:start="0" w:end="0"/>
        <w:rPr>
          <w:rFonts w:ascii="Times New Roman" w:hAnsi="Times New Roman"/>
          <w:szCs w:val="24"/>
        </w:rPr>
      </w:pPr>
      <w:r>
        <w:rPr>
          <w:szCs w:val="24"/>
        </w:rPr>
        <w:t>The project has reached the stage of topic selection, problem definition, literature research, ethical and security analysis, and preliminary project architecture design. The project’s major aspects at this stage are users, functions, security features, evaluation criteria, scope definition. The project’s upcoming stages include requirement finalization, database and interface design, prototype development, testing, evaluation, and documentation. Project management will be done using the Gantt chart. The significant project deliverables include literature review, requirements analysis, architecture design, database design, authentication, training modules development, phishing simulation development, assessment development, reporting, security testing, usability testing, evaluation, and technical report writing. The dependencies between project components should be recognized. For instance, the reporting module is linked to the database, and simulation and assessment modules are dependent on the authentication and users’ management components. The project’s major risks include the limited time to develop the project, insufficient implementation of advanced email simulation features, recruitment of participants for testing, privacy and security issues, design flaws, and scope creep. These project risks will be addressed through the limitation of the prototype to the core functions, using synthetic data for testing if real data is unavailable, incorporating security mechanisms at the design level, and documenting advanced features’ implementation as future work. The project will not seek to replace an enterprise-level solution for promoting security awareness within an organization and will exclude the integration testing with an existing mail server.</w:t>
      </w:r>
    </w:p>
    <w:p>
      <w:pPr>
        <w:pStyle w:val="Heading1"/>
        <w:keepNext/>
        <w:bidi w:val="0"/>
        <w:spacing w:lineRule="auto" w:line="480" w:before="0" w:after="0"/>
        <w:ind w:start="0" w:end="0" w:firstLine="0"/>
        <w:rPr>
          <w:rFonts w:ascii="Times New Roman" w:hAnsi="Times New Roman"/>
          <w:b/>
          <w:szCs w:val="24"/>
        </w:rPr>
      </w:pPr>
      <w:r>
        <w:rPr>
          <w:b/>
          <w:szCs w:val="24"/>
        </w:rPr>
        <w:t>12. Limitations</w:t>
      </w:r>
    </w:p>
    <w:p>
      <w:pPr>
        <w:pStyle w:val="Normal"/>
        <w:numPr>
          <w:ilvl w:val="0"/>
          <w:numId w:val="1"/>
        </w:numPr>
        <w:bidi w:val="0"/>
        <w:spacing w:lineRule="auto" w:line="480" w:after="0"/>
        <w:ind w:hanging="0" w:start="0" w:end="0"/>
        <w:rPr>
          <w:rFonts w:ascii="Times New Roman" w:hAnsi="Times New Roman"/>
          <w:b w:val="false"/>
          <w:bCs w:val="false"/>
          <w:color w:val="auto"/>
          <w:sz w:val="24"/>
          <w:szCs w:val="24"/>
        </w:rPr>
      </w:pPr>
      <w:r>
        <w:rPr>
          <w:b w:val="false"/>
          <w:bCs w:val="false"/>
          <w:color w:val="auto"/>
          <w:sz w:val="24"/>
          <w:szCs w:val="24"/>
        </w:rPr>
        <w:t>Several limitations should be noted. First, it is impossible for an academic prototype to account for every nuance inherent to the operation of a real-world small business. Second, a small-scale test environment may not yield statistically significant results. Third, outcomes in simulated phishing environments may be unrealistically affected by the scenario, timing, pre-existing knowledge, and individual circumstances. Fourth, awareness training cannot address the technical security flaws or ensure that employees will always act reasonably in the face of an attack. Thus, the prototype should be considered as a part of a larger security program. The prototype’s production email accounts are intentionally segregated from the main production environment, and it does not collect credentials or attempt to make employment-related decisions automatically. Consequently, an expanded version would need to undergo security, privacy, and operational impact assessments before being deployed in a real-world setting. The prototype’s future development directions include compatibility with business email platforms, phishing-resistant multifactor authentication, individualized training, accessibility support, long-term behavioral analytics, and security information and event management compatibility.</w:t>
      </w:r>
    </w:p>
    <w:p>
      <w:pPr>
        <w:pStyle w:val="Heading1"/>
        <w:keepNext/>
        <w:bidi w:val="0"/>
        <w:spacing w:lineRule="auto" w:line="480" w:before="0" w:after="0"/>
        <w:ind w:start="0" w:end="0" w:firstLine="0"/>
        <w:rPr>
          <w:rFonts w:ascii="Times New Roman" w:hAnsi="Times New Roman"/>
          <w:b/>
          <w:szCs w:val="24"/>
        </w:rPr>
      </w:pPr>
      <w:r>
        <w:rPr>
          <w:b/>
          <w:szCs w:val="24"/>
        </w:rPr>
        <w:t>13. Conclusion</w:t>
      </w:r>
    </w:p>
    <w:p>
      <w:pPr>
        <w:pStyle w:val="Normal"/>
        <w:numPr>
          <w:ilvl w:val="0"/>
          <w:numId w:val="1"/>
        </w:numPr>
        <w:bidi w:val="0"/>
        <w:spacing w:lineRule="auto" w:line="480" w:after="0"/>
        <w:ind w:hanging="0" w:start="0" w:end="0"/>
        <w:rPr>
          <w:rFonts w:ascii="Times New Roman" w:hAnsi="Times New Roman"/>
          <w:b w:val="false"/>
          <w:bCs w:val="false"/>
          <w:color w:val="auto"/>
          <w:sz w:val="24"/>
          <w:szCs w:val="24"/>
        </w:rPr>
      </w:pPr>
      <w:r>
        <w:rPr>
          <w:b w:val="false"/>
          <w:bCs w:val="false"/>
          <w:color w:val="auto"/>
          <w:sz w:val="24"/>
          <w:szCs w:val="24"/>
        </w:rPr>
        <w:t>This capstone suggests a Cybersecurity Awareness and Phishing Simulation System that would address a pragmatic concern of small businesses. The work unifies the themes of cybersecurity education, limited-scope phishing simulations, assessments, reporting, and security controls into a cohesive system architecture. The literature reviewed for this capstone underscores the value of awareness programs that enact enduring behavior modification, phishing education, multifactor authentication (MFA), logging, and application security design. NIST offers a useful survey of the cybersecurity and privacy lifecycle for learning programs, while CISA offers guidance specific to small businesses, Verizon reports on credential abuse and the human factor, and OWASP outlines application security considerations for authentication, access control, and logging. The proposed architecture reflects these principles in terms of the system requirements. Employees receive the education and simulated training, while managers get tailored metrics. The system is administered and secured by administrators who enforce privacy by design and related measures, such as data minimization, role restriction, secure authentication, auditing, and transparency. An evaluation methodology is suggested that emphasizes metrics, including knowledge assessment, rate of phishing interactions and reporting, completion of training, usability, and security-control validation. The contribution of this project, then, is not that training will be sufficient to address cybersecurity challenges. Rather, it is an opportunity to demonstrate how software architecture, security controls, awareness education, privacy, ethical design, metrics, and version control could be unified in a small-business friendly system. Treating end-users as active security-collaborators and not just risks to the organization’s security posture is likely to have downstream benefits to cultivating a positive cybersecurity culture while being realistic in the constraints of an MSIT capstone project.</w:t>
      </w:r>
    </w:p>
    <w:p>
      <w:pPr>
        <w:pStyle w:val="Normal"/>
        <w:bidi w:val="0"/>
        <w:spacing w:lineRule="auto" w:line="480" w:before="0" w:after="0"/>
        <w:ind w:start="0" w:end="0" w:firstLine="0"/>
        <w:jc w:val="center"/>
        <w:rPr>
          <w:rFonts w:ascii="Times New Roman" w:hAnsi="Times New Roman"/>
          <w:b/>
          <w:szCs w:val="24"/>
        </w:rPr>
      </w:pPr>
      <w:r>
        <w:rPr>
          <w:b/>
          <w:szCs w:val="24"/>
        </w:rPr>
        <w:t>Figure 1</w:t>
      </w:r>
    </w:p>
    <w:p>
      <w:pPr>
        <w:pStyle w:val="Normal"/>
        <w:bidi w:val="0"/>
        <w:spacing w:lineRule="auto" w:line="480" w:before="0" w:after="0"/>
        <w:ind w:hanging="0" w:start="0" w:end="0"/>
        <w:rPr>
          <w:rFonts w:ascii="Times New Roman" w:hAnsi="Times New Roman"/>
          <w:szCs w:val="24"/>
        </w:rPr>
      </w:pPr>
      <w:r>
        <w:rPr/>
        <w:drawing>
          <wp:inline distT="0" distB="0" distL="0" distR="0">
            <wp:extent cx="5903595" cy="392430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3"/>
                    <a:stretch>
                      <a:fillRect/>
                    </a:stretch>
                  </pic:blipFill>
                  <pic:spPr bwMode="auto">
                    <a:xfrm>
                      <a:off x="0" y="0"/>
                      <a:ext cx="5903595" cy="3924300"/>
                    </a:xfrm>
                    <a:prstGeom prst="rect">
                      <a:avLst/>
                    </a:prstGeom>
                  </pic:spPr>
                </pic:pic>
              </a:graphicData>
            </a:graphic>
          </wp:inline>
        </w:drawing>
      </w:r>
    </w:p>
    <w:p>
      <w:pPr>
        <w:pStyle w:val="Normal"/>
        <w:bidi w:val="0"/>
        <w:spacing w:lineRule="auto" w:line="480" w:before="0" w:after="0"/>
        <w:ind w:start="0" w:end="0" w:firstLine="0"/>
        <w:jc w:val="center"/>
        <w:rPr>
          <w:rFonts w:ascii="Times New Roman" w:hAnsi="Times New Roman"/>
          <w:szCs w:val="24"/>
        </w:rPr>
      </w:pPr>
      <w:r>
        <w:rPr>
          <w:szCs w:val="24"/>
        </w:rPr>
        <w:t>Proposed Cybersecurity Awareness and Phishing Simulation System Architecture.</w:t>
      </w:r>
    </w:p>
    <w:p>
      <w:pPr>
        <w:pStyle w:val="Normal"/>
        <w:bidi w:val="0"/>
        <w:spacing w:lineRule="auto" w:line="480" w:before="0" w:after="0"/>
        <w:ind w:hanging="0" w:start="0" w:end="0"/>
        <w:rPr>
          <w:rFonts w:ascii="Times New Roman" w:hAnsi="Times New Roman"/>
          <w:b/>
          <w:szCs w:val="24"/>
        </w:rPr>
      </w:pPr>
      <w:r>
        <w:rPr>
          <w:b/>
          <w:szCs w:val="24"/>
        </w:rPr>
        <w:t>Table 1</w:t>
      </w:r>
    </w:p>
    <w:tbl>
      <w:tblPr>
        <w:tblW w:w="8856" w:type="dxa"/>
        <w:jc w:val="center"/>
        <w:tblInd w:w="0" w:type="dxa"/>
        <w:tblLayout w:type="fixed"/>
        <w:tblCellMar>
          <w:top w:w="0" w:type="dxa"/>
          <w:start w:w="108" w:type="dxa"/>
          <w:bottom w:w="0" w:type="dxa"/>
          <w:end w:w="108" w:type="dxa"/>
        </w:tblCellMar>
      </w:tblPr>
      <w:tblGrid>
        <w:gridCol w:w="2121"/>
        <w:gridCol w:w="6734"/>
      </w:tblGrid>
      <w:tr>
        <w:trPr/>
        <w:tc>
          <w:tcPr>
            <w:tcW w:w="2121"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9"/>
              </w:tabs>
              <w:bidi w:val="0"/>
              <w:spacing w:lineRule="auto" w:line="240" w:after="0"/>
              <w:ind w:start="0" w:end="0" w:firstLine="0"/>
              <w:rPr/>
            </w:pPr>
            <w:r>
              <w:rPr>
                <w:rFonts w:ascii="Times New Roman" w:hAnsi="Times New Roman"/>
                <w:b/>
                <w:sz w:val="20"/>
                <w:szCs w:val="24"/>
              </w:rPr>
              <w:t>Requirement Category</w:t>
            </w:r>
          </w:p>
        </w:tc>
        <w:tc>
          <w:tcPr>
            <w:tcW w:w="6734" w:type="dxa"/>
            <w:tcBorders>
              <w:top w:val="single" w:sz="4" w:space="0" w:color="000000"/>
              <w:start w:val="single" w:sz="4" w:space="0" w:color="000000"/>
              <w:bottom w:val="single" w:sz="4" w:space="0" w:color="000000"/>
              <w:end w:val="single" w:sz="4" w:space="0" w:color="000000"/>
            </w:tcBorders>
            <w:vAlign w:val="center"/>
          </w:tcPr>
          <w:p>
            <w:pPr>
              <w:pStyle w:val="Normal"/>
              <w:tabs>
                <w:tab w:val="clear" w:pos="709"/>
              </w:tabs>
              <w:bidi w:val="0"/>
              <w:spacing w:lineRule="auto" w:line="240" w:after="0"/>
              <w:ind w:start="0" w:end="0" w:firstLine="0"/>
              <w:rPr/>
            </w:pPr>
            <w:r>
              <w:rPr>
                <w:rFonts w:ascii="Times New Roman" w:hAnsi="Times New Roman"/>
                <w:b/>
                <w:sz w:val="20"/>
                <w:szCs w:val="24"/>
              </w:rPr>
              <w:t>Examples</w:t>
            </w:r>
          </w:p>
        </w:tc>
      </w:tr>
      <w:tr>
        <w:trPr/>
        <w:tc>
          <w:tcPr>
            <w:tcW w:w="2121" w:type="dxa"/>
            <w:tcBorders>
              <w:top w:val="single" w:sz="4" w:space="0" w:color="000000"/>
              <w:start w:val="single" w:sz="4" w:space="0" w:color="000000"/>
              <w:bottom w:val="single" w:sz="4" w:space="0" w:color="000000"/>
              <w:end w:val="single" w:sz="4" w:space="0" w:color="000000"/>
            </w:tcBorders>
          </w:tcPr>
          <w:p>
            <w:pPr>
              <w:pStyle w:val="Normal"/>
              <w:tabs>
                <w:tab w:val="clear" w:pos="709"/>
              </w:tabs>
              <w:bidi w:val="0"/>
              <w:spacing w:lineRule="auto" w:line="240" w:after="0"/>
              <w:ind w:start="0" w:end="0" w:firstLine="0"/>
              <w:rPr/>
            </w:pPr>
            <w:r>
              <w:rPr>
                <w:rFonts w:ascii="Times New Roman" w:hAnsi="Times New Roman"/>
                <w:sz w:val="20"/>
                <w:szCs w:val="24"/>
              </w:rPr>
              <w:t>Functional</w:t>
            </w:r>
          </w:p>
        </w:tc>
        <w:tc>
          <w:tcPr>
            <w:tcW w:w="6734" w:type="dxa"/>
            <w:tcBorders>
              <w:top w:val="single" w:sz="4" w:space="0" w:color="000000"/>
              <w:start w:val="single" w:sz="4" w:space="0" w:color="000000"/>
              <w:bottom w:val="single" w:sz="4" w:space="0" w:color="000000"/>
              <w:end w:val="single" w:sz="4" w:space="0" w:color="000000"/>
            </w:tcBorders>
          </w:tcPr>
          <w:p>
            <w:pPr>
              <w:pStyle w:val="Normal"/>
              <w:tabs>
                <w:tab w:val="clear" w:pos="709"/>
              </w:tabs>
              <w:bidi w:val="0"/>
              <w:spacing w:lineRule="auto" w:line="240" w:after="0"/>
              <w:ind w:start="0" w:end="0" w:firstLine="0"/>
              <w:rPr/>
            </w:pPr>
            <w:r>
              <w:rPr>
                <w:rFonts w:ascii="Times New Roman" w:hAnsi="Times New Roman"/>
                <w:sz w:val="20"/>
                <w:szCs w:val="24"/>
              </w:rPr>
              <w:t>Authentication; training; assessments; simulations; reporting; dashboards; audit logging</w:t>
            </w:r>
          </w:p>
        </w:tc>
      </w:tr>
      <w:tr>
        <w:trPr/>
        <w:tc>
          <w:tcPr>
            <w:tcW w:w="212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szCs w:val="24"/>
              </w:rPr>
              <w:t>Security</w:t>
            </w:r>
          </w:p>
        </w:tc>
        <w:tc>
          <w:tcPr>
            <w:tcW w:w="6734"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szCs w:val="24"/>
              </w:rPr>
              <w:t>MFA; RBAC; secure password hashing; session controls; encryption; logging</w:t>
            </w:r>
          </w:p>
        </w:tc>
      </w:tr>
      <w:tr>
        <w:trPr/>
        <w:tc>
          <w:tcPr>
            <w:tcW w:w="212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szCs w:val="24"/>
              </w:rPr>
              <w:t>Privacy</w:t>
            </w:r>
          </w:p>
        </w:tc>
        <w:tc>
          <w:tcPr>
            <w:tcW w:w="6734"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szCs w:val="24"/>
              </w:rPr>
              <w:t>Data minimization; limited retention; transparent notice; restricted individual results</w:t>
            </w:r>
          </w:p>
        </w:tc>
      </w:tr>
      <w:tr>
        <w:trPr/>
        <w:tc>
          <w:tcPr>
            <w:tcW w:w="212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szCs w:val="24"/>
              </w:rPr>
              <w:t>Usability</w:t>
            </w:r>
          </w:p>
        </w:tc>
        <w:tc>
          <w:tcPr>
            <w:tcW w:w="6734"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szCs w:val="24"/>
              </w:rPr>
              <w:t>Plain-language content; clear navigation; accessible controls; immediate feedback</w:t>
            </w:r>
          </w:p>
        </w:tc>
      </w:tr>
      <w:tr>
        <w:trPr/>
        <w:tc>
          <w:tcPr>
            <w:tcW w:w="212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szCs w:val="24"/>
              </w:rPr>
              <w:t>Reliability</w:t>
            </w:r>
          </w:p>
        </w:tc>
        <w:tc>
          <w:tcPr>
            <w:tcW w:w="6734"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szCs w:val="24"/>
              </w:rPr>
              <w:t>Persistent records; backup strategy; validation and error handling</w:t>
            </w:r>
          </w:p>
        </w:tc>
      </w:tr>
      <w:tr>
        <w:trPr/>
        <w:tc>
          <w:tcPr>
            <w:tcW w:w="212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szCs w:val="24"/>
              </w:rPr>
              <w:t>Maintainability</w:t>
            </w:r>
          </w:p>
        </w:tc>
        <w:tc>
          <w:tcPr>
            <w:tcW w:w="6734"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szCs w:val="24"/>
              </w:rPr>
              <w:t>Modular services; version control; documented interfaces</w:t>
            </w:r>
          </w:p>
        </w:tc>
      </w:tr>
      <w:tr>
        <w:trPr/>
        <w:tc>
          <w:tcPr>
            <w:tcW w:w="2121"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szCs w:val="24"/>
              </w:rPr>
              <w:t>Scalability</w:t>
            </w:r>
          </w:p>
        </w:tc>
        <w:tc>
          <w:tcPr>
            <w:tcW w:w="6734" w:type="dxa"/>
            <w:tcBorders>
              <w:top w:val="single" w:sz="4" w:space="0" w:color="000000"/>
              <w:start w:val="single" w:sz="4" w:space="0" w:color="000000"/>
              <w:bottom w:val="single" w:sz="4" w:space="0" w:color="000000"/>
              <w:end w:val="single" w:sz="4" w:space="0" w:color="000000"/>
            </w:tcBorders>
          </w:tcPr>
          <w:p>
            <w:pPr>
              <w:pStyle w:val="Normal"/>
              <w:bidi w:val="0"/>
              <w:spacing w:lineRule="auto" w:line="240" w:after="0"/>
              <w:ind w:start="0" w:end="0" w:firstLine="0"/>
              <w:rPr/>
            </w:pPr>
            <w:r>
              <w:rPr>
                <w:rFonts w:ascii="Times New Roman" w:hAnsi="Times New Roman"/>
                <w:sz w:val="20"/>
                <w:szCs w:val="24"/>
              </w:rPr>
              <w:t>Support for additional users and training content without major redesign</w:t>
            </w:r>
          </w:p>
        </w:tc>
      </w:tr>
    </w:tbl>
    <w:p>
      <w:pPr>
        <w:pStyle w:val="Heading1"/>
        <w:bidi w:val="0"/>
        <w:spacing w:lineRule="auto" w:line="480" w:before="0" w:after="0"/>
        <w:ind w:start="0" w:end="0" w:firstLine="0"/>
        <w:rPr>
          <w:rFonts w:ascii="Times New Roman" w:hAnsi="Times New Roman"/>
          <w:b/>
          <w:szCs w:val="24"/>
        </w:rPr>
      </w:pPr>
      <w:r>
        <w:rPr>
          <w:b/>
          <w:szCs w:val="24"/>
        </w:rPr>
        <w:t>References</w:t>
      </w:r>
    </w:p>
    <w:p>
      <w:pPr>
        <w:pStyle w:val="Normal"/>
        <w:bidi w:val="0"/>
        <w:spacing w:lineRule="auto" w:line="480" w:before="0" w:after="0"/>
        <w:ind w:hanging="720" w:start="720" w:end="0"/>
        <w:rPr>
          <w:rFonts w:ascii="Times New Roman" w:hAnsi="Times New Roman"/>
        </w:rPr>
      </w:pPr>
      <w:r>
        <w:rPr/>
        <w:t xml:space="preserve">CISA. (2025). Phishing guidance: Stopping the attack cycle at phase one. Cybersecurity and Infrastructure Security Agency. </w:t>
      </w:r>
      <w:hyperlink r:id="rId4">
        <w:r>
          <w:rPr>
            <w:rStyle w:val="Hyperlink"/>
            <w:color w:val="000000"/>
            <w:lang w:val="en-US" w:eastAsia="en-US" w:bidi="ar-SA"/>
          </w:rPr>
          <w:t>https://www.cisa.gov/sites/default/files/2025-03/Phishing%20Guidance%20%20Stopping%20the%20Attack%20Cycle%20at%20Phase%20One%20508.pdf</w:t>
        </w:r>
      </w:hyperlink>
    </w:p>
    <w:p>
      <w:pPr>
        <w:pStyle w:val="Normal"/>
        <w:bidi w:val="0"/>
        <w:spacing w:lineRule="auto" w:line="480" w:before="0" w:after="0"/>
        <w:ind w:hanging="0" w:start="0" w:end="0"/>
        <w:rPr>
          <w:rFonts w:ascii="Times New Roman" w:hAnsi="Times New Roman"/>
        </w:rPr>
      </w:pPr>
      <w:r>
        <w:rPr/>
        <w:t xml:space="preserve">Cybersecurity and Infrastructure Security Agency. (n.d.). Small and medium-sized business resources. </w:t>
      </w:r>
      <w:hyperlink r:id="rId5">
        <w:r>
          <w:rPr>
            <w:rStyle w:val="Hyperlink"/>
            <w:color w:val="000000"/>
            <w:lang w:val="en-US" w:eastAsia="en-US" w:bidi="ar-SA"/>
          </w:rPr>
          <w:t>https://www.cisa.gov/small-and-medium-sized-business-resources</w:t>
        </w:r>
      </w:hyperlink>
    </w:p>
    <w:p>
      <w:pPr>
        <w:pStyle w:val="Normal"/>
        <w:bidi w:val="0"/>
        <w:spacing w:lineRule="auto" w:line="480" w:before="0" w:after="0"/>
        <w:ind w:hanging="0" w:start="0" w:end="0"/>
        <w:rPr>
          <w:rFonts w:ascii="Times New Roman" w:hAnsi="Times New Roman"/>
        </w:rPr>
      </w:pPr>
      <w:r>
        <w:rPr/>
        <w:t xml:space="preserve">Cybersecurity and Infrastructure Security Agency. (n.d.). Require multifactor authentication. </w:t>
      </w:r>
      <w:hyperlink r:id="rId6">
        <w:r>
          <w:rPr>
            <w:rStyle w:val="Hyperlink"/>
            <w:color w:val="000000"/>
            <w:lang w:val="en-US" w:eastAsia="en-US" w:bidi="ar-SA"/>
          </w:rPr>
          <w:t>https://www.cisa.gov/audiences/small-and-medium-businesses/secure-your-business/require-multifactor-authentication</w:t>
        </w:r>
      </w:hyperlink>
    </w:p>
    <w:p>
      <w:pPr>
        <w:pStyle w:val="Normal"/>
        <w:bidi w:val="0"/>
        <w:spacing w:lineRule="auto" w:line="480" w:before="0" w:after="0"/>
        <w:ind w:hanging="0" w:start="0" w:end="0"/>
        <w:rPr>
          <w:rFonts w:ascii="Times New Roman" w:hAnsi="Times New Roman"/>
        </w:rPr>
      </w:pPr>
      <w:r>
        <w:rPr/>
        <w:t xml:space="preserve">Cybersecurity and Infrastructure Security Agency. (n.d.). Use logging on business systems. </w:t>
      </w:r>
      <w:hyperlink r:id="rId7">
        <w:r>
          <w:rPr>
            <w:rStyle w:val="Hyperlink"/>
            <w:color w:val="000000"/>
            <w:lang w:val="en-US" w:eastAsia="en-US" w:bidi="ar-SA"/>
          </w:rPr>
          <w:t>https://www.cisa.gov/audiences/small-and-medium-businesses/secure-your-business/use-logging-on-business-systems</w:t>
        </w:r>
      </w:hyperlink>
    </w:p>
    <w:p>
      <w:pPr>
        <w:pStyle w:val="Normal"/>
        <w:bidi w:val="0"/>
        <w:spacing w:lineRule="auto" w:line="480" w:before="0" w:after="0"/>
        <w:ind w:hanging="0" w:start="0" w:end="0"/>
        <w:rPr>
          <w:rFonts w:ascii="Times New Roman" w:hAnsi="Times New Roman"/>
        </w:rPr>
      </w:pPr>
      <w:r>
        <w:rPr/>
        <w:t xml:space="preserve">Davies, S. (2024). Blueprints: Creating, describing, and implementing designs for larger-scale software projects (Version 2.5). University of Mary Washington. </w:t>
      </w:r>
      <w:hyperlink r:id="rId8">
        <w:r>
          <w:rPr>
            <w:rStyle w:val="Hyperlink"/>
            <w:color w:val="000000"/>
            <w:lang w:val="en-US" w:eastAsia="en-US" w:bidi="ar-SA"/>
          </w:rPr>
          <w:t>https://open.umn.edu/opentextbooks/textbooks/blueprints-creating-describing-and-implementing-designs-for-larger-scale-software-projects-davis</w:t>
        </w:r>
      </w:hyperlink>
    </w:p>
    <w:p>
      <w:pPr>
        <w:pStyle w:val="Normal"/>
        <w:bidi w:val="0"/>
        <w:spacing w:lineRule="auto" w:line="480" w:before="0" w:after="0"/>
        <w:ind w:hanging="0" w:start="0" w:end="0"/>
        <w:rPr>
          <w:rFonts w:ascii="Times New Roman" w:hAnsi="Times New Roman"/>
        </w:rPr>
      </w:pPr>
      <w:r>
        <w:rPr/>
        <w:t xml:space="preserve">Letaw, L. (2024). Handbook of software engineering methods (2nd ed.). Oregon State University. </w:t>
      </w:r>
      <w:hyperlink r:id="rId9">
        <w:r>
          <w:rPr>
            <w:rStyle w:val="Hyperlink"/>
            <w:color w:val="000000"/>
            <w:lang w:val="en-US" w:eastAsia="en-US" w:bidi="ar-SA"/>
          </w:rPr>
          <w:t>https://open.oregonstate.education/setextbook/</w:t>
        </w:r>
      </w:hyperlink>
    </w:p>
    <w:p>
      <w:pPr>
        <w:pStyle w:val="Normal"/>
        <w:bidi w:val="0"/>
        <w:spacing w:lineRule="auto" w:line="480" w:before="0" w:after="0"/>
        <w:ind w:hanging="0" w:start="0" w:end="0"/>
        <w:rPr>
          <w:rFonts w:ascii="Times New Roman" w:hAnsi="Times New Roman"/>
        </w:rPr>
      </w:pPr>
      <w:r>
        <w:rPr/>
        <w:t xml:space="preserve">Merritt, M., Hansche, S., Ellis, B., Nethery Snyder, J., Sanchez-Cherry, K., &amp; Walden, D. (2024). Building a cybersecurity and privacy learning program (NIST SP 800-50 Rev. 1). National Institute of Standards and Technology. </w:t>
      </w:r>
      <w:hyperlink r:id="rId10">
        <w:r>
          <w:rPr>
            <w:rStyle w:val="Hyperlink"/>
            <w:color w:val="000000"/>
            <w:lang w:val="en-US" w:eastAsia="en-US" w:bidi="ar-SA"/>
          </w:rPr>
          <w:t>https://doi.org/10.6028/NIST.SP.800-50r1</w:t>
        </w:r>
      </w:hyperlink>
    </w:p>
    <w:p>
      <w:pPr>
        <w:pStyle w:val="Normal"/>
        <w:bidi w:val="0"/>
        <w:spacing w:lineRule="auto" w:line="480" w:before="0" w:after="0"/>
        <w:ind w:hanging="0" w:start="0" w:end="0"/>
        <w:rPr>
          <w:rFonts w:ascii="Times New Roman" w:hAnsi="Times New Roman"/>
        </w:rPr>
      </w:pPr>
      <w:r>
        <w:rPr/>
        <w:t xml:space="preserve">OWASP Foundation. (2021). OWASP Top 10: 2021. </w:t>
      </w:r>
      <w:hyperlink r:id="rId11">
        <w:r>
          <w:rPr>
            <w:rStyle w:val="Hyperlink"/>
            <w:color w:val="000000"/>
            <w:lang w:val="en-US" w:eastAsia="en-US" w:bidi="ar-SA"/>
          </w:rPr>
          <w:t>https://owasp.org/Top10/</w:t>
        </w:r>
      </w:hyperlink>
    </w:p>
    <w:p>
      <w:pPr>
        <w:pStyle w:val="Normal"/>
        <w:bidi w:val="0"/>
        <w:spacing w:lineRule="auto" w:line="480" w:before="0" w:after="0"/>
        <w:ind w:hanging="0" w:start="0" w:end="0"/>
        <w:rPr>
          <w:rFonts w:ascii="Times New Roman" w:hAnsi="Times New Roman"/>
        </w:rPr>
      </w:pPr>
      <w:r>
        <w:rPr/>
        <w:t xml:space="preserve">Summers, B. L. (2020). Effective methods for software engineering. Auerbach Publications. </w:t>
      </w:r>
      <w:hyperlink r:id="rId12">
        <w:r>
          <w:rPr>
            <w:rStyle w:val="Hyperlink"/>
            <w:color w:val="000000"/>
            <w:lang w:val="en-US" w:eastAsia="en-US" w:bidi="ar-SA"/>
          </w:rPr>
          <w:t>https://www.routledge.com/Effective-Methods-for-Software-Engineering/Summers/p/book/9781032474359</w:t>
        </w:r>
      </w:hyperlink>
    </w:p>
    <w:p>
      <w:pPr>
        <w:pStyle w:val="Normal"/>
        <w:bidi w:val="0"/>
        <w:spacing w:lineRule="auto" w:line="480" w:before="0" w:after="0"/>
        <w:ind w:hanging="0" w:start="0" w:end="0"/>
        <w:rPr>
          <w:rFonts w:ascii="Times New Roman" w:hAnsi="Times New Roman"/>
        </w:rPr>
      </w:pPr>
      <w:r>
        <w:rPr/>
        <w:t xml:space="preserve">Verizon. (2025). 2025 data breach investigations report. Verizon Business. </w:t>
      </w:r>
      <w:hyperlink r:id="rId13">
        <w:r>
          <w:rPr>
            <w:rStyle w:val="Hyperlink"/>
            <w:color w:val="000000"/>
            <w:lang w:val="en-US" w:eastAsia="en-US" w:bidi="ar-SA"/>
          </w:rPr>
          <w:t>https://www.verizon.com/business/resources/reports/dbir/</w:t>
        </w:r>
      </w:hyperlink>
    </w:p>
    <w:p>
      <w:pPr>
        <w:pStyle w:val="Normal"/>
        <w:bidi w:val="0"/>
        <w:spacing w:lineRule="auto" w:line="480" w:before="0" w:after="0"/>
        <w:ind w:hanging="0" w:start="0" w:end="0"/>
        <w:rPr>
          <w:rFonts w:ascii="Times New Roman" w:hAnsi="Times New Roman"/>
        </w:rPr>
      </w:pPr>
      <w:r>
        <w:rPr/>
        <w:t xml:space="preserve">Walker, V. (2022, March 16). 14 software architecture design patterns to know. Red Hat. </w:t>
      </w:r>
      <w:hyperlink r:id="rId14">
        <w:r>
          <w:rPr>
            <w:rStyle w:val="Hyperlink"/>
            <w:color w:val="000000"/>
            <w:lang w:val="en-US" w:eastAsia="en-US" w:bidi="ar-SA"/>
          </w:rPr>
          <w:t>https://www.redhat.com/en/blog/14-software-architecture-patterns</w:t>
        </w:r>
      </w:hyperlink>
    </w:p>
    <w:p>
      <w:pPr>
        <w:pStyle w:val="Normal"/>
        <w:bidi w:val="0"/>
        <w:spacing w:lineRule="auto" w:line="480" w:before="0" w:after="0"/>
        <w:ind w:hanging="720" w:start="720" w:end="0"/>
        <w:rPr>
          <w:rFonts w:ascii="Times New Roman" w:hAnsi="Times New Roman"/>
        </w:rPr>
      </w:pPr>
      <w:r>
        <w:rPr/>
      </w:r>
    </w:p>
    <w:p>
      <w:pPr>
        <w:pStyle w:val="Normal"/>
        <w:bidi w:val="0"/>
        <w:spacing w:line="480" w:lineRule="auto" w:after="0"/>
        <w:jc w:val="start"/>
        <w:rPr>
          <w:rFonts w:ascii="Times New Roman" w:hAnsi="Times New Roman"/>
        </w:rPr>
      </w:pPr>
      <w:r>
        <w:rPr/>
      </w:r>
    </w:p>
    <w:sectPr>
      <w:type w:val="nextPage"/>
      <w:pgSz w:w="12240" w:h="15840"/>
      <w:pgMar w:left="1440" w:right="1440" w:gutter="0" w:header="0" w:top="1440" w:footer="0" w:bottom="1440"/>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imes New Roman">
    <w:charset w:val="01"/>
    <w:family w:val="roman"/>
    <w:pitch w:val="default"/>
  </w:font>
  <w:font w:name="Calibri">
    <w:charset w:val="01"/>
    <w:family w:val="roman"/>
    <w:pitch w:val="default"/>
  </w:font>
  <w:font w:name="Cambria">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line="480" w:lineRule="auto"/>
      <w:ind w:firstLine="720"/>
      <w:jc w:val="start"/>
    </w:pPr>
    <w:rPr>
      <w:rFonts w:ascii="Times New Roman" w:hAnsi="Times New Roman" w:eastAsia="Times New Roman" w:cs="Lucida Sans"/>
      <w:color w:val="auto"/>
      <w:kern w:val="2"/>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character" w:styleId="DefaultParagraphFont">
    <w:name w:val="Default Paragraph Font"/>
    <w:qFormat/>
    <w:rPr/>
  </w:style>
  <w:style w:type="character" w:styleId="Heading1Char">
    <w:name w:val="Heading 1 Char"/>
    <w:basedOn w:val="DefaultParagraphFont"/>
    <w:qFormat/>
    <w:rPr>
      <w:rFonts w:ascii="Calibri" w:hAnsi="Calibri" w:eastAsia="MS Gothic"/>
      <w:b/>
      <w:bCs/>
      <w:color w:val="365F91"/>
      <w:sz w:val="28"/>
      <w:szCs w:val="28"/>
    </w:rPr>
  </w:style>
  <w:style w:type="character" w:styleId="FooterChar">
    <w:name w:val="Footer Char"/>
    <w:basedOn w:val="DefaultParagraphFont"/>
    <w:qFormat/>
    <w:rPr>
      <w:rFonts w:ascii="Times New Roman" w:hAnsi="Times New Roman"/>
      <w:szCs w:val="2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Times New Roman" w:hAnsi="Times New Roman"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Times New Roman" w:hAnsi="Times New Roman" w:cs="Lucida Sans"/>
    </w:rPr>
  </w:style>
  <w:style w:type="paragraph" w:styleId="Caption">
    <w:name w:val="Caption"/>
    <w:basedOn w:val="Normal"/>
    <w:qFormat/>
    <w:pPr>
      <w:suppressLineNumbers/>
      <w:spacing w:before="120" w:after="120"/>
    </w:pPr>
    <w:rPr>
      <w:rFonts w:ascii="Times New Roman" w:hAnsi="Times New Roman" w:cs="Lucida Sans"/>
      <w:i/>
      <w:iCs/>
      <w:sz w:val="24"/>
      <w:szCs w:val="24"/>
    </w:rPr>
  </w:style>
  <w:style w:type="paragraph" w:styleId="Index">
    <w:name w:val="Index"/>
    <w:basedOn w:val="Normal"/>
    <w:qFormat/>
    <w:pPr>
      <w:suppressLineNumbers/>
    </w:pPr>
    <w:rPr>
      <w:rFonts w:ascii="Times New Roman" w:hAnsi="Times New Roman" w:cs="Lucida Sans"/>
    </w:rPr>
  </w:style>
  <w:style w:type="paragraph" w:styleId="NormalTable">
    <w:name w:val="Normal Table"/>
    <w:qFormat/>
    <w:pPr>
      <w:widowControl/>
      <w:suppressAutoHyphens w:val="true"/>
      <w:bidi w:val="0"/>
      <w:spacing w:lineRule="auto" w:line="276" w:before="0" w:after="200"/>
      <w:jc w:val="start"/>
      <w:textAlignment w:val="auto"/>
    </w:pPr>
    <w:rPr>
      <w:rFonts w:ascii="Cambria" w:hAnsi="Cambria" w:eastAsia="MS Mincho" w:cs="Times New Roman"/>
      <w:color w:val="auto"/>
      <w:kern w:val="2"/>
      <w:sz w:val="22"/>
      <w:szCs w:val="22"/>
      <w:lang w:val="en-US" w:eastAsia="en-US" w:bidi="ar-SA"/>
    </w:rPr>
  </w:style>
  <w:style w:type="paragraph" w:styleId="TableGrid">
    <w:name w:val="Table Grid"/>
    <w:basedOn w:val="NormalTable"/>
    <w:qFormat/>
    <w:pPr>
      <w:spacing w:lineRule="auto" w:line="240" w:before="0" w:after="0"/>
    </w:pPr>
    <w:rPr>
      <w:rFonts w:ascii="Cambria" w:hAnsi="Cambria" w:eastAsia="MS Mincho"/>
      <w:sz w:val="22"/>
    </w:rPr>
  </w:style>
  <w:style w:type="paragraph" w:customStyle="1" w:styleId="Title">
    <w:name w:val="Title"/>
    <w:pPr>
      <w:spacing w:line="480" w:lineRule="auto" w:before="0" w:after="0"/>
    </w:pPr>
    <w:rPr>
      <w:rFonts w:ascii="Times New Roman" w:hAnsi="Times New Roman" w:eastAsia="Times New Roman"/>
      <w:sz w:val="24"/>
    </w:rPr>
  </w:style>
  <w:style w:type="paragraph" w:customStyle="1" w:styleId="Heading1">
    <w:name w:val="heading 1"/>
    <w:pPr>
      <w:spacing w:line="480" w:lineRule="auto" w:before="0" w:after="0"/>
    </w:pPr>
    <w:rPr>
      <w:rFonts w:ascii="Times New Roman" w:hAnsi="Times New Roman" w:eastAsia="Times New Roman"/>
      <w:b/>
      <w:sz w:val="24"/>
    </w:rPr>
  </w:style>
  <w:style w:type="paragraph" w:customStyle="1" w:styleId="Heading2">
    <w:name w:val="heading 2"/>
    <w:pPr>
      <w:spacing w:line="480" w:lineRule="auto" w:before="0" w:after="0"/>
    </w:pPr>
    <w:rPr>
      <w:rFonts w:ascii="Times New Roman" w:hAnsi="Times New Roman" w:eastAsia="Times New Roman"/>
      <w:sz w:val="24"/>
    </w:rPr>
  </w:style>
  <w:style w:type="paragraph" w:customStyle="1" w:styleId="Heading3">
    <w:name w:val="heading 3"/>
    <w:pPr>
      <w:spacing w:line="480" w:lineRule="auto" w:before="0" w:after="0"/>
    </w:pPr>
    <w:rPr>
      <w:rFonts w:ascii="Times New Roman" w:hAnsi="Times New Roman" w:eastAsia="Times New Roman"/>
      <w:sz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earn.uopeople.edu/d2l/home/15674" TargetMode="External"/><Relationship Id="rId3" Type="http://schemas.openxmlformats.org/officeDocument/2006/relationships/image" Target="media/image1.png"/><Relationship Id="rId4" Type="http://schemas.openxmlformats.org/officeDocument/2006/relationships/hyperlink" Target="https://www.cisa.gov/sites/default/files/2025-03/Phishing Guidance Stopping the Attack Cycle at Phase One 508.pdf" TargetMode="External"/><Relationship Id="rId5" Type="http://schemas.openxmlformats.org/officeDocument/2006/relationships/hyperlink" Target="https://www.cisa.gov/small-and-medium-sized-business-resources" TargetMode="External"/><Relationship Id="rId6" Type="http://schemas.openxmlformats.org/officeDocument/2006/relationships/hyperlink" Target="https://www.cisa.gov/audiences/small-and-medium-businesses/secure-your-business/require-multifactor-authentication" TargetMode="External"/><Relationship Id="rId7" Type="http://schemas.openxmlformats.org/officeDocument/2006/relationships/hyperlink" Target="https://www.cisa.gov/audiences/small-and-medium-businesses/secure-your-business/use-logging-on-business-systems" TargetMode="External"/><Relationship Id="rId8" Type="http://schemas.openxmlformats.org/officeDocument/2006/relationships/hyperlink" Target="https://open.umn.edu/opentextbooks/textbooks/blueprints-creating-describing-and-implementing-designs-for-larger-scale-software-projects-davis" TargetMode="External"/><Relationship Id="rId9" Type="http://schemas.openxmlformats.org/officeDocument/2006/relationships/hyperlink" Target="https://open.oregonstate.education/setextbook/" TargetMode="External"/><Relationship Id="rId10" Type="http://schemas.openxmlformats.org/officeDocument/2006/relationships/hyperlink" Target="https://doi.org/10.6028/NIST.SP.800-50r1" TargetMode="External"/><Relationship Id="rId11" Type="http://schemas.openxmlformats.org/officeDocument/2006/relationships/hyperlink" Target="https://owasp.org/Top10/" TargetMode="External"/><Relationship Id="rId12" Type="http://schemas.openxmlformats.org/officeDocument/2006/relationships/hyperlink" Target="https://www.routledge.com/Effective-Methods-for-Software-Engineering/Summers/p/book/9781032474359" TargetMode="External"/><Relationship Id="rId13" Type="http://schemas.openxmlformats.org/officeDocument/2006/relationships/hyperlink" Target="https://www.verizon.com/business/resources/reports/dbir/" TargetMode="External"/><Relationship Id="rId14" Type="http://schemas.openxmlformats.org/officeDocument/2006/relationships/hyperlink" Target="https://www.redhat.com/en/blog/14-software-architecture-patterns" TargetMode="Externa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LibreOffice/7.6.3.2$Windows_X86_64 LibreOffice_project/29d686fea9f6705b262d369fede658f824154cc0</Application>
  <AppVersion>15.0000</AppVersion>
  <Pages>22</Pages>
  <Words>5089</Words>
  <Characters>34316</Characters>
  <CharactersWithSpaces>39530</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2026-09-23T19:59:16Z</dcterms:created>
  <dc:creator/>
  <dc:description/>
  <dc:language>en-US</dc:language>
  <cp:lastModifiedBy/>
  <dcterms:modified xsi:type="dcterms:W3CDTF">2026-09-23T19:59:37Z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