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 is governed by the Asset Store EULA; however, the following components are governed by the licenses indicated below: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LiberationSans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LiberationSans - OFL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 2007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