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Pitch Deck 1: AI Automation Studio for Rwanda SMEs</w:t>
      </w:r>
    </w:p>
    <w:p>
      <w:r>
        <w:rPr>
          <w:b/>
        </w:rPr>
        <w:t xml:space="preserve">Founder Profile Fit: </w:t>
      </w:r>
      <w:r>
        <w:t>Technical deployer + prompt-driven operator; suitable for rapid MVP execution and relationship-led selling.</w:t>
      </w:r>
    </w:p>
    <w:p>
      <w:pPr>
        <w:pStyle w:val="Heading1"/>
      </w:pPr>
      <w:r>
        <w:t>1) Opportunity Summary</w:t>
      </w:r>
    </w:p>
    <w:p>
      <w:r>
        <w:t>Problem: Many SMEs still run sales, support, and bookkeeping manually, losing time and missing customer follow-up.</w:t>
      </w:r>
    </w:p>
    <w:p>
      <w:r>
        <w:t>Solution: A productized “automation-in-a-box” service: WhatsApp workflows, lead capture, CRM setup, invoice reminders, and monthly support.</w:t>
      </w:r>
    </w:p>
    <w:p>
      <w:r>
        <w:t>Primary Customers: Retail chains, clinics, schools, logistics SMEs in Kigali + secondary cities.</w:t>
      </w:r>
    </w:p>
    <w:p>
      <w:pPr>
        <w:pStyle w:val="Heading1"/>
      </w:pPr>
      <w:r>
        <w:t>2) Strategic Partnership Map</w:t>
      </w:r>
    </w:p>
    <w:p>
      <w:pPr>
        <w:pStyle w:val="ListBullet"/>
      </w:pPr>
      <w:r>
        <w:t>Chambers of commerce and district business hubs for client pipelines</w:t>
      </w:r>
    </w:p>
    <w:p>
      <w:pPr>
        <w:pStyle w:val="ListBullet"/>
      </w:pPr>
      <w:r>
        <w:t>Telcos for bundled business messaging and connectivity</w:t>
      </w:r>
    </w:p>
    <w:p>
      <w:pPr>
        <w:pStyle w:val="ListBullet"/>
      </w:pPr>
      <w:r>
        <w:t>Banks/MFIs for SME digitalization financing referrals</w:t>
      </w:r>
    </w:p>
    <w:p>
      <w:pPr>
        <w:pStyle w:val="Heading1"/>
      </w:pPr>
      <w:r>
        <w:t>3) Business Model</w:t>
      </w:r>
    </w:p>
    <w:p>
      <w:r>
        <w:t>Pricing: Setup fee: 300,000 RWF/client. Monthly support: 120,000 RWF/client.</w:t>
      </w:r>
    </w:p>
    <w:p>
      <w:pPr>
        <w:pStyle w:val="Heading1"/>
      </w:pPr>
      <w:r>
        <w:t>4) Operating Assumptions (24-Month Plan)</w:t>
      </w:r>
    </w:p>
    <w:p>
      <w:pPr>
        <w:pStyle w:val="ListBullet"/>
      </w:pPr>
      <w:r>
        <w:t>Month 1 starts with 3 new clients; +1 net new client each month</w:t>
      </w:r>
    </w:p>
    <w:p>
      <w:pPr>
        <w:pStyle w:val="ListBullet"/>
      </w:pPr>
      <w:r>
        <w:t>Gross margin on services: 65%</w:t>
      </w:r>
    </w:p>
    <w:p>
      <w:pPr>
        <w:pStyle w:val="ListBullet"/>
      </w:pPr>
      <w:r>
        <w:t>Fixed monthly operating cost starts at 1,000,000 RWF and grows by 2% monthly</w:t>
      </w:r>
    </w:p>
    <w:p>
      <w:pPr>
        <w:pStyle w:val="Heading1"/>
      </w:pPr>
      <w:r>
        <w:t>5) Financial Projection (Clear Summary)</w:t>
      </w:r>
    </w:p>
    <w:tbl>
      <w:tblPr>
        <w:tblStyle w:val="LightList-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Year 1 Revenue</w:t>
            </w:r>
          </w:p>
        </w:tc>
        <w:tc>
          <w:tcPr>
            <w:tcW w:type="dxa" w:w="4320"/>
          </w:tcPr>
          <w:p>
            <w:r>
              <w:t>34,560,000 RWF</w:t>
            </w:r>
          </w:p>
        </w:tc>
      </w:tr>
      <w:tr>
        <w:tc>
          <w:tcPr>
            <w:tcW w:type="dxa" w:w="4320"/>
          </w:tcPr>
          <w:p>
            <w:r>
              <w:t>Year 1 Gross Profit (65%)</w:t>
            </w:r>
          </w:p>
        </w:tc>
        <w:tc>
          <w:tcPr>
            <w:tcW w:type="dxa" w:w="4320"/>
          </w:tcPr>
          <w:p>
            <w:r>
              <w:t>22,464,000 RWF</w:t>
            </w:r>
          </w:p>
        </w:tc>
      </w:tr>
      <w:tr>
        <w:tc>
          <w:tcPr>
            <w:tcW w:type="dxa" w:w="4320"/>
          </w:tcPr>
          <w:p>
            <w:r>
              <w:t>Year 1 Operating Cost</w:t>
            </w:r>
          </w:p>
        </w:tc>
        <w:tc>
          <w:tcPr>
            <w:tcW w:type="dxa" w:w="4320"/>
          </w:tcPr>
          <w:p>
            <w:r>
              <w:t>13,412,000 RWF</w:t>
            </w:r>
          </w:p>
        </w:tc>
      </w:tr>
      <w:tr>
        <w:tc>
          <w:tcPr>
            <w:tcW w:type="dxa" w:w="4320"/>
          </w:tcPr>
          <w:p>
            <w:r>
              <w:t>Year 1 Net Profit</w:t>
            </w:r>
          </w:p>
        </w:tc>
        <w:tc>
          <w:tcPr>
            <w:tcW w:type="dxa" w:w="4320"/>
          </w:tcPr>
          <w:p>
            <w:r>
              <w:t>9,052,000 RWF</w:t>
            </w:r>
          </w:p>
        </w:tc>
      </w:tr>
      <w:tr>
        <w:tc>
          <w:tcPr>
            <w:tcW w:type="dxa" w:w="4320"/>
          </w:tcPr>
          <w:p>
            <w:r>
              <w:t>Year 2 Revenue</w:t>
            </w:r>
          </w:p>
        </w:tc>
        <w:tc>
          <w:tcPr>
            <w:tcW w:type="dxa" w:w="4320"/>
          </w:tcPr>
          <w:p>
            <w:r>
              <w:t>59,040,000 RWF</w:t>
            </w:r>
          </w:p>
        </w:tc>
      </w:tr>
      <w:tr>
        <w:tc>
          <w:tcPr>
            <w:tcW w:type="dxa" w:w="4320"/>
          </w:tcPr>
          <w:p>
            <w:r>
              <w:t>Year 2 Gross Profit (65%)</w:t>
            </w:r>
          </w:p>
        </w:tc>
        <w:tc>
          <w:tcPr>
            <w:tcW w:type="dxa" w:w="4320"/>
          </w:tcPr>
          <w:p>
            <w:r>
              <w:t>38,376,000 RWF</w:t>
            </w:r>
          </w:p>
        </w:tc>
      </w:tr>
      <w:tr>
        <w:tc>
          <w:tcPr>
            <w:tcW w:type="dxa" w:w="4320"/>
          </w:tcPr>
          <w:p>
            <w:r>
              <w:t>Year 2 Operating Cost</w:t>
            </w:r>
          </w:p>
        </w:tc>
        <w:tc>
          <w:tcPr>
            <w:tcW w:type="dxa" w:w="4320"/>
          </w:tcPr>
          <w:p>
            <w:r>
              <w:t>16,935,000 RWF</w:t>
            </w:r>
          </w:p>
        </w:tc>
      </w:tr>
      <w:tr>
        <w:tc>
          <w:tcPr>
            <w:tcW w:type="dxa" w:w="4320"/>
          </w:tcPr>
          <w:p>
            <w:r>
              <w:t>Year 2 Net Profit</w:t>
            </w:r>
          </w:p>
        </w:tc>
        <w:tc>
          <w:tcPr>
            <w:tcW w:type="dxa" w:w="4320"/>
          </w:tcPr>
          <w:p>
            <w:r>
              <w:t>21,441,000 RWF</w:t>
            </w:r>
          </w:p>
        </w:tc>
      </w:tr>
    </w:tbl>
    <w:p>
      <w:pPr>
        <w:pStyle w:val="Heading1"/>
      </w:pPr>
      <w:r>
        <w:t>6) Process Diagram (Mermaid Rendered to PNG)</w:t>
      </w:r>
    </w:p>
    <w:p>
      <w:r>
        <w:drawing>
          <wp:inline xmlns:a="http://schemas.openxmlformats.org/drawingml/2006/main" xmlns:pic="http://schemas.openxmlformats.org/drawingml/2006/picture">
            <wp:extent cx="5669280" cy="390486"/>
            <wp:docPr id="1" name="Picture 1"/>
            <wp:cNvGraphicFramePr>
              <a:graphicFrameLocks noChangeAspect="1"/>
            </wp:cNvGraphicFramePr>
            <a:graphic>
              <a:graphicData uri="http://schemas.openxmlformats.org/drawingml/2006/picture">
                <pic:pic>
                  <pic:nvPicPr>
                    <pic:cNvPr id="0" name="angle1_flow.png"/>
                    <pic:cNvPicPr/>
                  </pic:nvPicPr>
                  <pic:blipFill>
                    <a:blip r:embed="rId9"/>
                    <a:stretch>
                      <a:fillRect/>
                    </a:stretch>
                  </pic:blipFill>
                  <pic:spPr>
                    <a:xfrm>
                      <a:off x="0" y="0"/>
                      <a:ext cx="5669280" cy="390486"/>
                    </a:xfrm>
                    <a:prstGeom prst="rect"/>
                  </pic:spPr>
                </pic:pic>
              </a:graphicData>
            </a:graphic>
          </wp:inline>
        </w:drawing>
      </w:r>
    </w:p>
    <w:p>
      <w:pPr>
        <w:pStyle w:val="Heading1"/>
      </w:pPr>
      <w:r>
        <w:t>7) Risk Controls &amp; Next 30 Days</w:t>
      </w:r>
    </w:p>
    <w:p>
      <w:r>
        <w:t>• Sign 3 pilot partners and 5 paying customers before scaling spend.</w:t>
      </w:r>
    </w:p>
    <w:p>
      <w:r>
        <w:t>• Collect weekly unit-economics dashboard (CAC, payback period, churn).</w:t>
      </w:r>
    </w:p>
    <w:p>
      <w:r>
        <w:t>• Build referral loops through institution and ecosystem partnerships.</w:t>
      </w:r>
    </w:p>
    <w:p>
      <w:pPr>
        <w:pStyle w:val="Heading1"/>
      </w:pPr>
      <w:r>
        <w:t>8) Source &amp; Validation Note</w:t>
      </w:r>
    </w:p>
    <w:p>
      <w:r>
        <w:t>Real-time data note (generated 2026-04-18): Direct access to Rwanda statistics endpoints was blocked in this sandbox. Numbers below are operator assumptions for planning and should be validated with current data from NISR, BNR, RURA, and RDB before pitching investors.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