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Deck 2: Agri Market-Linkage &amp; Data Service</w:t>
      </w:r>
    </w:p>
    <w:p>
      <w:r>
        <w:rPr>
          <w:b/>
        </w:rPr>
        <w:t xml:space="preserve">Founder Profile Fit: </w:t>
      </w:r>
      <w:r>
        <w:t>Technical deployer + prompt-driven operator; suitable for rapid MVP execution and relationship-led selling.</w:t>
      </w:r>
    </w:p>
    <w:p>
      <w:pPr>
        <w:pStyle w:val="Heading1"/>
      </w:pPr>
      <w:r>
        <w:t>1) Opportunity Summary</w:t>
      </w:r>
    </w:p>
    <w:p>
      <w:r>
        <w:t>Problem: Smallholder producers and cooperatives often lack reliable demand visibility and consistent buyer access.</w:t>
      </w:r>
    </w:p>
    <w:p>
      <w:r>
        <w:t>Solution: A lightweight USSD/WhatsApp intake + dashboard to aggregate produce availability, forecast supply windows, and match verified buyers.</w:t>
      </w:r>
    </w:p>
    <w:p>
      <w:r>
        <w:t>Primary Customers: Cooperatives, produce aggregators, food processors, and institutional buyers.</w:t>
      </w:r>
    </w:p>
    <w:p>
      <w:pPr>
        <w:pStyle w:val="Heading1"/>
      </w:pPr>
      <w:r>
        <w:t>2) Strategic Partnership Map</w:t>
      </w:r>
    </w:p>
    <w:p>
      <w:pPr>
        <w:pStyle w:val="ListBullet"/>
      </w:pPr>
      <w:r>
        <w:t>Farmer cooperatives and sector agronomists for onboarding</w:t>
      </w:r>
    </w:p>
    <w:p>
      <w:pPr>
        <w:pStyle w:val="ListBullet"/>
      </w:pPr>
      <w:r>
        <w:t>Input suppliers and NGOs for sponsored analytics</w:t>
      </w:r>
    </w:p>
    <w:p>
      <w:pPr>
        <w:pStyle w:val="ListBullet"/>
      </w:pPr>
      <w:r>
        <w:t>Logistics operators for fulfillment and traceability</w:t>
      </w:r>
    </w:p>
    <w:p>
      <w:pPr>
        <w:pStyle w:val="Heading1"/>
      </w:pPr>
      <w:r>
        <w:t>3) Business Model</w:t>
      </w:r>
    </w:p>
    <w:p>
      <w:r>
        <w:t>Pricing: Coop subscription: 180,000 RWF/month. Buyer analytics report: 250,000 RWF/report. Transaction facilitation fee: 1.5%.</w:t>
      </w:r>
    </w:p>
    <w:p>
      <w:pPr>
        <w:pStyle w:val="Heading1"/>
      </w:pPr>
      <w:r>
        <w:t>4) Operating Assumptions (24-Month Plan)</w:t>
      </w:r>
    </w:p>
    <w:p>
      <w:pPr>
        <w:pStyle w:val="ListBullet"/>
      </w:pPr>
      <w:r>
        <w:t>Start with 5 cooperatives and 2 reports/month in Month 1</w:t>
      </w:r>
    </w:p>
    <w:p>
      <w:pPr>
        <w:pStyle w:val="ListBullet"/>
      </w:pPr>
      <w:r>
        <w:t>Cooperatives grow by +1 monthly; reports grow to 4/month by Year 2 midpoint</w:t>
      </w:r>
    </w:p>
    <w:p>
      <w:pPr>
        <w:pStyle w:val="ListBullet"/>
      </w:pPr>
      <w:r>
        <w:t>Facilitated monthly GMV starts at 15,000,000 RWF and grows 5% monthly</w:t>
      </w:r>
    </w:p>
    <w:p>
      <w:pPr>
        <w:pStyle w:val="Heading1"/>
      </w:pPr>
      <w:r>
        <w:t>5) Financial Projection (Clear Summary)</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Year 1 Revenue</w:t>
            </w:r>
          </w:p>
        </w:tc>
        <w:tc>
          <w:tcPr>
            <w:tcW w:type="dxa" w:w="4320"/>
          </w:tcPr>
          <w:p>
            <w:r>
              <w:t>48,180,000 RWF</w:t>
            </w:r>
          </w:p>
        </w:tc>
      </w:tr>
      <w:tr>
        <w:tc>
          <w:tcPr>
            <w:tcW w:type="dxa" w:w="4320"/>
          </w:tcPr>
          <w:p>
            <w:r>
              <w:t>Year 1 Gross Profit (58%)</w:t>
            </w:r>
          </w:p>
        </w:tc>
        <w:tc>
          <w:tcPr>
            <w:tcW w:type="dxa" w:w="4320"/>
          </w:tcPr>
          <w:p>
            <w:r>
              <w:t>27,944,000 RWF</w:t>
            </w:r>
          </w:p>
        </w:tc>
      </w:tr>
      <w:tr>
        <w:tc>
          <w:tcPr>
            <w:tcW w:type="dxa" w:w="4320"/>
          </w:tcPr>
          <w:p>
            <w:r>
              <w:t>Year 1 Operating Cost</w:t>
            </w:r>
          </w:p>
        </w:tc>
        <w:tc>
          <w:tcPr>
            <w:tcW w:type="dxa" w:w="4320"/>
          </w:tcPr>
          <w:p>
            <w:r>
              <w:t>15,960,000 RWF</w:t>
            </w:r>
          </w:p>
        </w:tc>
      </w:tr>
      <w:tr>
        <w:tc>
          <w:tcPr>
            <w:tcW w:type="dxa" w:w="4320"/>
          </w:tcPr>
          <w:p>
            <w:r>
              <w:t>Year 1 Net Profit</w:t>
            </w:r>
          </w:p>
        </w:tc>
        <w:tc>
          <w:tcPr>
            <w:tcW w:type="dxa" w:w="4320"/>
          </w:tcPr>
          <w:p>
            <w:r>
              <w:t>11,984,000 RWF</w:t>
            </w:r>
          </w:p>
        </w:tc>
      </w:tr>
      <w:tr>
        <w:tc>
          <w:tcPr>
            <w:tcW w:type="dxa" w:w="4320"/>
          </w:tcPr>
          <w:p>
            <w:r>
              <w:t>Year 2 Revenue</w:t>
            </w:r>
          </w:p>
        </w:tc>
        <w:tc>
          <w:tcPr>
            <w:tcW w:type="dxa" w:w="4320"/>
          </w:tcPr>
          <w:p>
            <w:r>
              <w:t>74,460,000 RWF</w:t>
            </w:r>
          </w:p>
        </w:tc>
      </w:tr>
      <w:tr>
        <w:tc>
          <w:tcPr>
            <w:tcW w:type="dxa" w:w="4320"/>
          </w:tcPr>
          <w:p>
            <w:r>
              <w:t>Year 2 Gross Profit (58%)</w:t>
            </w:r>
          </w:p>
        </w:tc>
        <w:tc>
          <w:tcPr>
            <w:tcW w:type="dxa" w:w="4320"/>
          </w:tcPr>
          <w:p>
            <w:r>
              <w:t>43,187,000 RWF</w:t>
            </w:r>
          </w:p>
        </w:tc>
      </w:tr>
      <w:tr>
        <w:tc>
          <w:tcPr>
            <w:tcW w:type="dxa" w:w="4320"/>
          </w:tcPr>
          <w:p>
            <w:r>
              <w:t>Year 2 Operating Cost</w:t>
            </w:r>
          </w:p>
        </w:tc>
        <w:tc>
          <w:tcPr>
            <w:tcW w:type="dxa" w:w="4320"/>
          </w:tcPr>
          <w:p>
            <w:r>
              <w:t>19,800,000 RWF</w:t>
            </w:r>
          </w:p>
        </w:tc>
      </w:tr>
      <w:tr>
        <w:tc>
          <w:tcPr>
            <w:tcW w:type="dxa" w:w="4320"/>
          </w:tcPr>
          <w:p>
            <w:r>
              <w:t>Year 2 Net Profit</w:t>
            </w:r>
          </w:p>
        </w:tc>
        <w:tc>
          <w:tcPr>
            <w:tcW w:type="dxa" w:w="4320"/>
          </w:tcPr>
          <w:p>
            <w:r>
              <w:t>23,387,000 RWF</w:t>
            </w:r>
          </w:p>
        </w:tc>
      </w:tr>
    </w:tbl>
    <w:p>
      <w:pPr>
        <w:pStyle w:val="Heading1"/>
      </w:pPr>
      <w:r>
        <w:t>6) Process Diagram (Mermaid Rendered to PNG)</w:t>
      </w:r>
    </w:p>
    <w:p>
      <w:r>
        <w:drawing>
          <wp:inline xmlns:a="http://schemas.openxmlformats.org/drawingml/2006/main" xmlns:pic="http://schemas.openxmlformats.org/drawingml/2006/picture">
            <wp:extent cx="5669280" cy="5871034"/>
            <wp:docPr id="1" name="Picture 1"/>
            <wp:cNvGraphicFramePr>
              <a:graphicFrameLocks noChangeAspect="1"/>
            </wp:cNvGraphicFramePr>
            <a:graphic>
              <a:graphicData uri="http://schemas.openxmlformats.org/drawingml/2006/picture">
                <pic:pic>
                  <pic:nvPicPr>
                    <pic:cNvPr id="0" name="angle2_flow.png"/>
                    <pic:cNvPicPr/>
                  </pic:nvPicPr>
                  <pic:blipFill>
                    <a:blip r:embed="rId9"/>
                    <a:stretch>
                      <a:fillRect/>
                    </a:stretch>
                  </pic:blipFill>
                  <pic:spPr>
                    <a:xfrm>
                      <a:off x="0" y="0"/>
                      <a:ext cx="5669280" cy="5871034"/>
                    </a:xfrm>
                    <a:prstGeom prst="rect"/>
                  </pic:spPr>
                </pic:pic>
              </a:graphicData>
            </a:graphic>
          </wp:inline>
        </w:drawing>
      </w:r>
    </w:p>
    <w:p>
      <w:pPr>
        <w:pStyle w:val="Heading1"/>
      </w:pPr>
      <w:r>
        <w:t>7) Risk Controls &amp; Next 30 Days</w:t>
      </w:r>
    </w:p>
    <w:p>
      <w:r>
        <w:t>• Sign 3 pilot partners and 5 paying customers before scaling spend.</w:t>
      </w:r>
    </w:p>
    <w:p>
      <w:r>
        <w:t>• Collect weekly unit-economics dashboard (CAC, payback period, churn).</w:t>
      </w:r>
    </w:p>
    <w:p>
      <w:r>
        <w:t>• Build referral loops through institution and ecosystem partnerships.</w:t>
      </w:r>
    </w:p>
    <w:p>
      <w:pPr>
        <w:pStyle w:val="Heading1"/>
      </w:pPr>
      <w:r>
        <w:t>8) Source &amp; Validation Note</w:t>
      </w:r>
    </w:p>
    <w:p>
      <w:r>
        <w:t>Real-time data note (generated 2026-04-18): Direct access to Rwanda statistics endpoints was blocked in this sandbox. Numbers below are operator assumptions for planning and should be validated with current data from NISR, BNR, RURA, and RDB before pitching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