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Deck 1 V2: AI Automation Studio for Rwanda SMEs</w:t>
      </w:r>
    </w:p>
    <w:p>
      <w:r>
        <w:t>Version objective: This V2 is an investment-grade upgrade oriented to a defined 24-month final destination.</w:t>
      </w:r>
    </w:p>
    <w:p>
      <w:pPr>
        <w:pStyle w:val="Heading1"/>
      </w:pPr>
      <w:r>
        <w:t>1) Investment Thesis</w:t>
      </w:r>
    </w:p>
    <w:p>
      <w:r>
        <w:t>Build the default operating-system layer for Rwanda SMEs by productizing workflow automation into repeatable vertical playbooks.</w:t>
      </w:r>
    </w:p>
    <w:p>
      <w:pPr>
        <w:pStyle w:val="Heading1"/>
      </w:pPr>
      <w:r>
        <w:t>2) Problem Severity &amp; Why Now</w:t>
      </w:r>
    </w:p>
    <w:p>
      <w:r>
        <w:t>SMEs are rapidly digitizing customer channels but lack internal automation capacity, creating immediate ROI opportunities.</w:t>
      </w:r>
    </w:p>
    <w:p>
      <w:pPr>
        <w:pStyle w:val="Heading1"/>
      </w:pPr>
      <w:r>
        <w:t>3) Offer Architecture</w:t>
      </w:r>
    </w:p>
    <w:p>
      <w:r>
        <w:t>Starter automation setup, vertical templates, analytics dashboard, and managed optimization retainer.</w:t>
      </w:r>
    </w:p>
    <w:p>
      <w:pPr>
        <w:pStyle w:val="Heading1"/>
      </w:pPr>
      <w:r>
        <w:t>4) Go-to-Market Wedge (First 100 Customers)</w:t>
      </w:r>
    </w:p>
    <w:p>
      <w:r>
        <w:t>Acquire first 100 customers through district hubs, referral incentives, and case-study-led sales sprints.</w:t>
      </w:r>
    </w:p>
    <w:p>
      <w:pPr>
        <w:pStyle w:val="Heading1"/>
      </w:pPr>
      <w:r>
        <w:t>5) Partnerships Flywheel</w:t>
      </w:r>
    </w:p>
    <w:p>
      <w:r>
        <w:t>Telco bundles reduce onboarding friction; bank/MFI referrals lower CAC; retained customers generate referrals.</w:t>
      </w:r>
    </w:p>
    <w:p>
      <w:pPr>
        <w:pStyle w:val="Heading1"/>
      </w:pPr>
      <w:r>
        <w:t>6) 24-Month Financial Engine (Scenario View)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Downside Year 2 Revenue</w:t>
            </w:r>
          </w:p>
        </w:tc>
        <w:tc>
          <w:tcPr>
            <w:tcW w:type="dxa" w:w="4320"/>
          </w:tcPr>
          <w:p>
            <w:r>
              <w:t>45,000,000 RWF</w:t>
            </w:r>
          </w:p>
        </w:tc>
      </w:tr>
      <w:tr>
        <w:tc>
          <w:tcPr>
            <w:tcW w:type="dxa" w:w="4320"/>
          </w:tcPr>
          <w:p>
            <w:r>
              <w:t>Base Year 2 Revenue</w:t>
            </w:r>
          </w:p>
        </w:tc>
        <w:tc>
          <w:tcPr>
            <w:tcW w:type="dxa" w:w="4320"/>
          </w:tcPr>
          <w:p>
            <w:r>
              <w:t>68,000,000 RWF</w:t>
            </w:r>
          </w:p>
        </w:tc>
      </w:tr>
      <w:tr>
        <w:tc>
          <w:tcPr>
            <w:tcW w:type="dxa" w:w="4320"/>
          </w:tcPr>
          <w:p>
            <w:r>
              <w:t>Upside Year 2 Revenue</w:t>
            </w:r>
          </w:p>
        </w:tc>
        <w:tc>
          <w:tcPr>
            <w:tcW w:type="dxa" w:w="4320"/>
          </w:tcPr>
          <w:p>
            <w:r>
              <w:t>92,000,000 RWF</w:t>
            </w:r>
          </w:p>
        </w:tc>
      </w:tr>
      <w:tr>
        <w:tc>
          <w:tcPr>
            <w:tcW w:type="dxa" w:w="4320"/>
          </w:tcPr>
          <w:p>
            <w:r>
              <w:t>Target Gross Margin</w:t>
            </w:r>
          </w:p>
        </w:tc>
        <w:tc>
          <w:tcPr>
            <w:tcW w:type="dxa" w:w="4320"/>
          </w:tcPr>
          <w:p>
            <w:r>
              <w:t>67%</w:t>
            </w:r>
          </w:p>
        </w:tc>
      </w:tr>
      <w:tr>
        <w:tc>
          <w:tcPr>
            <w:tcW w:type="dxa" w:w="4320"/>
          </w:tcPr>
          <w:p>
            <w:r>
              <w:t>Target EBITDA Margin (Month 24)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</w:tbl>
    <w:p>
      <w:pPr>
        <w:pStyle w:val="Heading1"/>
      </w:pPr>
      <w:r>
        <w:t>7) Final Destination (Month 24)</w:t>
      </w:r>
    </w:p>
    <w:p>
      <w:r>
        <w:rPr>
          <w:b/>
        </w:rPr>
        <w:t xml:space="preserve">FINAL DESTINATION: </w:t>
      </w:r>
      <w:r>
        <w:t>By Month 24, operate a standardized, margin-healthy automation platform serving 150 active SMEs with exportable playbooks.</w:t>
      </w:r>
    </w:p>
    <w:p>
      <w:pPr>
        <w:pStyle w:val="Heading1"/>
      </w:pPr>
      <w:r>
        <w:t>8) Milestone Ladder</w:t>
      </w:r>
    </w:p>
    <w:p>
      <w:pPr>
        <w:pStyle w:val="ListBullet"/>
      </w:pPr>
      <w:r>
        <w:t>Day 0-90: 10 paid pilots, 3 vertical templates, reference testimonials</w:t>
      </w:r>
    </w:p>
    <w:p>
      <w:pPr>
        <w:pStyle w:val="ListBullet"/>
      </w:pPr>
      <w:r>
        <w:t>Month 4-12: 60 active SMEs, sales playbook institutionalized, monthly churn below 4%</w:t>
      </w:r>
    </w:p>
    <w:p>
      <w:pPr>
        <w:pStyle w:val="ListBullet"/>
      </w:pPr>
      <w:r>
        <w:t>Month 13-24: 150 active SMEs, dedicated account pods, expansion readiness package completed</w:t>
      </w:r>
    </w:p>
    <w:p>
      <w:pPr>
        <w:pStyle w:val="Heading1"/>
      </w:pPr>
      <w:r>
        <w:t>9) KPI Command Center</w:t>
      </w:r>
    </w:p>
    <w:p>
      <w:pPr>
        <w:pStyle w:val="ListBullet"/>
      </w:pPr>
      <w:r>
        <w:t>Lead-to-customer conversion (%)</w:t>
      </w:r>
    </w:p>
    <w:p>
      <w:pPr>
        <w:pStyle w:val="ListBullet"/>
      </w:pPr>
      <w:r>
        <w:t>Monthly recurring revenue (RWF)</w:t>
      </w:r>
    </w:p>
    <w:p>
      <w:pPr>
        <w:pStyle w:val="ListBullet"/>
      </w:pPr>
      <w:r>
        <w:t>Gross margin (%)</w:t>
      </w:r>
    </w:p>
    <w:p>
      <w:pPr>
        <w:pStyle w:val="ListBullet"/>
      </w:pPr>
      <w:r>
        <w:t>CAC payback period (months)</w:t>
      </w:r>
    </w:p>
    <w:p>
      <w:pPr>
        <w:pStyle w:val="ListBullet"/>
      </w:pPr>
      <w:r>
        <w:t>Customer retention / churn</w:t>
      </w:r>
    </w:p>
    <w:p>
      <w:pPr>
        <w:pStyle w:val="ListBullet"/>
      </w:pPr>
      <w:r>
        <w:t>Contribution margin per customer</w:t>
      </w:r>
    </w:p>
    <w:p>
      <w:pPr>
        <w:pStyle w:val="ListBullet"/>
      </w:pPr>
      <w:r>
        <w:t>On-time payment rate (%)</w:t>
      </w:r>
    </w:p>
    <w:p>
      <w:pPr>
        <w:pStyle w:val="ListBullet"/>
      </w:pPr>
      <w:r>
        <w:t>Partner-sourced revenue share (%)</w:t>
      </w:r>
    </w:p>
    <w:p>
      <w:pPr>
        <w:pStyle w:val="Heading1"/>
      </w:pPr>
      <w:r>
        <w:t>10) Risks, Kill-Criteria, and Mitigations</w:t>
      </w:r>
    </w:p>
    <w:p>
      <w:pPr>
        <w:pStyle w:val="ListBullet"/>
      </w:pPr>
      <w:r>
        <w:t>Risk: custom one-off work erodes margins. Mitigation: strict template-first scoping and change-order policy.</w:t>
      </w:r>
    </w:p>
    <w:p>
      <w:pPr>
        <w:pStyle w:val="ListBullet"/>
      </w:pPr>
      <w:r>
        <w:t>Risk: payment delays. Mitigation: prepaid monthly plans and automated reminders.</w:t>
      </w:r>
    </w:p>
    <w:p>
      <w:pPr>
        <w:pStyle w:val="ListBullet"/>
      </w:pPr>
      <w:r>
        <w:t>Kill criterion: fail to reach 25 active paying SMEs by Month 8.</w:t>
      </w:r>
    </w:p>
    <w:p>
      <w:pPr>
        <w:pStyle w:val="Heading1"/>
      </w:pPr>
      <w:r>
        <w:t>11) Final Destination Diagram (Mermaid PNG)</w:t>
      </w:r>
    </w:p>
    <w:p>
      <w:r>
        <w:drawing>
          <wp:inline xmlns:a="http://schemas.openxmlformats.org/drawingml/2006/main" xmlns:pic="http://schemas.openxmlformats.org/drawingml/2006/picture">
            <wp:extent cx="5669280" cy="376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1_fl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12) Source &amp; Validation</w:t>
      </w:r>
    </w:p>
    <w:p>
      <w:r>
        <w:t>Validation note (2026-04-18): Where live statistics were not retrievable in-session, figures are explicit planning assumptions. Verify current indicators with NISR, BNR, RURA, and RDB before investor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