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Pitch Deck 2 V2: Agri Market-Linkage &amp; Intelligence Platform</w:t>
      </w:r>
    </w:p>
    <w:p>
      <w:r>
        <w:t>Version objective: This V2 is an investment-grade upgrade oriented to a defined 24-month final destination.</w:t>
      </w:r>
    </w:p>
    <w:p>
      <w:pPr>
        <w:pStyle w:val="Heading1"/>
      </w:pPr>
      <w:r>
        <w:t>1) Investment Thesis</w:t>
      </w:r>
    </w:p>
    <w:p>
      <w:r>
        <w:t>Create a trusted transaction and data layer connecting producer groups to buyers with predictable quality and delivery.</w:t>
      </w:r>
    </w:p>
    <w:p>
      <w:pPr>
        <w:pStyle w:val="Heading1"/>
      </w:pPr>
      <w:r>
        <w:t>2) Problem Severity &amp; Why Now</w:t>
      </w:r>
    </w:p>
    <w:p>
      <w:r>
        <w:t>Demand fragmentation and weak market signaling create pricing inefficiency and post-harvest losses.</w:t>
      </w:r>
    </w:p>
    <w:p>
      <w:pPr>
        <w:pStyle w:val="Heading1"/>
      </w:pPr>
      <w:r>
        <w:t>3) Offer Architecture</w:t>
      </w:r>
    </w:p>
    <w:p>
      <w:r>
        <w:t>Coop SaaS, buyer intelligence reports, and transaction facilitation with reliability scoring.</w:t>
      </w:r>
    </w:p>
    <w:p>
      <w:pPr>
        <w:pStyle w:val="Heading1"/>
      </w:pPr>
      <w:r>
        <w:t>4) Go-to-Market Wedge (First 100 Customers)</w:t>
      </w:r>
    </w:p>
    <w:p>
      <w:r>
        <w:t>Launch with concentrated crop corridors and anchor buyers to prove repeatability before geographic scale.</w:t>
      </w:r>
    </w:p>
    <w:p>
      <w:pPr>
        <w:pStyle w:val="Heading1"/>
      </w:pPr>
      <w:r>
        <w:t>5) Partnerships Flywheel</w:t>
      </w:r>
    </w:p>
    <w:p>
      <w:r>
        <w:t>Better data improves match quality; better matches increase GMV; rising GMV attracts more buyers and coops.</w:t>
      </w:r>
    </w:p>
    <w:p>
      <w:pPr>
        <w:pStyle w:val="Heading1"/>
      </w:pPr>
      <w:r>
        <w:t>6) 24-Month Financial Engine (Scenario View)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Downside Year 2 Revenue</w:t>
            </w:r>
          </w:p>
        </w:tc>
        <w:tc>
          <w:tcPr>
            <w:tcW w:type="dxa" w:w="4320"/>
          </w:tcPr>
          <w:p>
            <w:r>
              <w:t>56,000,000 RWF</w:t>
            </w:r>
          </w:p>
        </w:tc>
      </w:tr>
      <w:tr>
        <w:tc>
          <w:tcPr>
            <w:tcW w:type="dxa" w:w="4320"/>
          </w:tcPr>
          <w:p>
            <w:r>
              <w:t>Base Year 2 Revenue</w:t>
            </w:r>
          </w:p>
        </w:tc>
        <w:tc>
          <w:tcPr>
            <w:tcW w:type="dxa" w:w="4320"/>
          </w:tcPr>
          <w:p>
            <w:r>
              <w:t>81,000,000 RWF</w:t>
            </w:r>
          </w:p>
        </w:tc>
      </w:tr>
      <w:tr>
        <w:tc>
          <w:tcPr>
            <w:tcW w:type="dxa" w:w="4320"/>
          </w:tcPr>
          <w:p>
            <w:r>
              <w:t>Upside Year 2 Revenue</w:t>
            </w:r>
          </w:p>
        </w:tc>
        <w:tc>
          <w:tcPr>
            <w:tcW w:type="dxa" w:w="4320"/>
          </w:tcPr>
          <w:p>
            <w:r>
              <w:t>108,000,000 RWF</w:t>
            </w:r>
          </w:p>
        </w:tc>
      </w:tr>
      <w:tr>
        <w:tc>
          <w:tcPr>
            <w:tcW w:type="dxa" w:w="4320"/>
          </w:tcPr>
          <w:p>
            <w:r>
              <w:t>Target Gross Margin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t>Target EBITDA Margin (Month 24)</w:t>
            </w:r>
          </w:p>
        </w:tc>
        <w:tc>
          <w:tcPr>
            <w:tcW w:type="dxa" w:w="4320"/>
          </w:tcPr>
          <w:p>
            <w:r>
              <w:t>28%</w:t>
            </w:r>
          </w:p>
        </w:tc>
      </w:tr>
    </w:tbl>
    <w:p>
      <w:pPr>
        <w:pStyle w:val="Heading1"/>
      </w:pPr>
      <w:r>
        <w:t>7) Final Destination (Month 24)</w:t>
      </w:r>
    </w:p>
    <w:p>
      <w:r>
        <w:rPr>
          <w:b/>
        </w:rPr>
        <w:t xml:space="preserve">FINAL DESTINATION: </w:t>
      </w:r>
      <w:r>
        <w:t>By Month 24, become the most trusted agri matching and transaction intelligence node in target provinces with predictable monthly GMV.</w:t>
      </w:r>
    </w:p>
    <w:p>
      <w:pPr>
        <w:pStyle w:val="Heading1"/>
      </w:pPr>
      <w:r>
        <w:t>8) Milestone Ladder</w:t>
      </w:r>
    </w:p>
    <w:p>
      <w:pPr>
        <w:pStyle w:val="ListBullet"/>
      </w:pPr>
      <w:r>
        <w:t>Day 0-90: 5 coop pilots, 3 anchor buyers, first repeat transaction cycles</w:t>
      </w:r>
    </w:p>
    <w:p>
      <w:pPr>
        <w:pStyle w:val="ListBullet"/>
      </w:pPr>
      <w:r>
        <w:t>Month 4-12: 25 coops onboarded, reliability scoring operational, SLA performance above 90%</w:t>
      </w:r>
    </w:p>
    <w:p>
      <w:pPr>
        <w:pStyle w:val="ListBullet"/>
      </w:pPr>
      <w:r>
        <w:t>Month 13-24: province replication, integrated finance partnerships, strong recurring data-report revenue</w:t>
      </w:r>
    </w:p>
    <w:p>
      <w:pPr>
        <w:pStyle w:val="Heading1"/>
      </w:pPr>
      <w:r>
        <w:t>9) KPI Command Center</w:t>
      </w:r>
    </w:p>
    <w:p>
      <w:pPr>
        <w:pStyle w:val="ListBullet"/>
      </w:pPr>
      <w:r>
        <w:t>Lead-to-customer conversion (%)</w:t>
      </w:r>
    </w:p>
    <w:p>
      <w:pPr>
        <w:pStyle w:val="ListBullet"/>
      </w:pPr>
      <w:r>
        <w:t>Monthly recurring revenue (RWF)</w:t>
      </w:r>
    </w:p>
    <w:p>
      <w:pPr>
        <w:pStyle w:val="ListBullet"/>
      </w:pPr>
      <w:r>
        <w:t>Gross margin (%)</w:t>
      </w:r>
    </w:p>
    <w:p>
      <w:pPr>
        <w:pStyle w:val="ListBullet"/>
      </w:pPr>
      <w:r>
        <w:t>CAC payback period (months)</w:t>
      </w:r>
    </w:p>
    <w:p>
      <w:pPr>
        <w:pStyle w:val="ListBullet"/>
      </w:pPr>
      <w:r>
        <w:t>Customer retention / churn</w:t>
      </w:r>
    </w:p>
    <w:p>
      <w:pPr>
        <w:pStyle w:val="ListBullet"/>
      </w:pPr>
      <w:r>
        <w:t>Contribution margin per customer</w:t>
      </w:r>
    </w:p>
    <w:p>
      <w:pPr>
        <w:pStyle w:val="ListBullet"/>
      </w:pPr>
      <w:r>
        <w:t>On-time payment rate (%)</w:t>
      </w:r>
    </w:p>
    <w:p>
      <w:pPr>
        <w:pStyle w:val="ListBullet"/>
      </w:pPr>
      <w:r>
        <w:t>Partner-sourced revenue share (%)</w:t>
      </w:r>
    </w:p>
    <w:p>
      <w:pPr>
        <w:pStyle w:val="Heading1"/>
      </w:pPr>
      <w:r>
        <w:t>10) Risks, Kill-Criteria, and Mitigations</w:t>
      </w:r>
    </w:p>
    <w:p>
      <w:pPr>
        <w:pStyle w:val="ListBullet"/>
      </w:pPr>
      <w:r>
        <w:t>Risk: inconsistent supply quality. Mitigation: standardized grading and QA checkpoints.</w:t>
      </w:r>
    </w:p>
    <w:p>
      <w:pPr>
        <w:pStyle w:val="ListBullet"/>
      </w:pPr>
      <w:r>
        <w:t>Risk: buyer trust gap. Mitigation: contract templates and transparent performance scorecards.</w:t>
      </w:r>
    </w:p>
    <w:p>
      <w:pPr>
        <w:pStyle w:val="ListBullet"/>
      </w:pPr>
      <w:r>
        <w:t>Kill criterion: no repeat monthly buyer cohort by Month 9.</w:t>
      </w:r>
    </w:p>
    <w:p>
      <w:pPr>
        <w:pStyle w:val="Heading1"/>
      </w:pPr>
      <w:r>
        <w:t>11) Final Destination Diagram (Mermaid PNG)</w:t>
      </w:r>
    </w:p>
    <w:p>
      <w:r>
        <w:drawing>
          <wp:inline xmlns:a="http://schemas.openxmlformats.org/drawingml/2006/main" xmlns:pic="http://schemas.openxmlformats.org/drawingml/2006/picture">
            <wp:extent cx="5669280" cy="14584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gle2_flow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84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12) Source &amp; Validation</w:t>
      </w:r>
    </w:p>
    <w:p>
      <w:r>
        <w:t>Validation note (2026-04-18): Where live statistics were not retrievable in-session, figures are explicit planning assumptions. Verify current indicators with NISR, BNR, RURA, and RDB before investor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