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Deck 3 V2: Student Housing &amp; RentTech Network</w:t>
      </w:r>
    </w:p>
    <w:p>
      <w:r>
        <w:t>Version objective: This V2 is an investment-grade upgrade oriented to a defined 24-month final destination.</w:t>
      </w:r>
    </w:p>
    <w:p>
      <w:pPr>
        <w:pStyle w:val="Heading1"/>
      </w:pPr>
      <w:r>
        <w:t>1) Investment Thesis</w:t>
      </w:r>
    </w:p>
    <w:p>
      <w:r>
        <w:t>Win the student housing category by combining verified inventory, faster placement, and disciplined rent operations.</w:t>
      </w:r>
    </w:p>
    <w:p>
      <w:pPr>
        <w:pStyle w:val="Heading1"/>
      </w:pPr>
      <w:r>
        <w:t>2) Problem Severity &amp; Why Now</w:t>
      </w:r>
    </w:p>
    <w:p>
      <w:r>
        <w:t>Growing student mobility and fragmented landlord operations create a high-friction, trust-deficient market.</w:t>
      </w:r>
    </w:p>
    <w:p>
      <w:pPr>
        <w:pStyle w:val="Heading1"/>
      </w:pPr>
      <w:r>
        <w:t>3) Offer Architecture</w:t>
      </w:r>
    </w:p>
    <w:p>
      <w:r>
        <w:t>Verified listing marketplace, placement brokerage, and recurring rent-collection workflow suite.</w:t>
      </w:r>
    </w:p>
    <w:p>
      <w:pPr>
        <w:pStyle w:val="Heading1"/>
      </w:pPr>
      <w:r>
        <w:t>4) Go-to-Market Wedge (First 100 Customers)</w:t>
      </w:r>
    </w:p>
    <w:p>
      <w:r>
        <w:t>Dominate university catchment zones one-by-one using institutional channels and trust-first verification.</w:t>
      </w:r>
    </w:p>
    <w:p>
      <w:pPr>
        <w:pStyle w:val="Heading1"/>
      </w:pPr>
      <w:r>
        <w:t>5) Partnerships Flywheel</w:t>
      </w:r>
    </w:p>
    <w:p>
      <w:r>
        <w:t>Verified supply improves conversion; better conversion attracts landlords; larger inventory improves student acquisition.</w:t>
      </w:r>
    </w:p>
    <w:p>
      <w:pPr>
        <w:pStyle w:val="Heading1"/>
      </w:pPr>
      <w:r>
        <w:t>6) 24-Month Financial Engine (Scenario View)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Downside Year 2 Revenue</w:t>
            </w:r>
          </w:p>
        </w:tc>
        <w:tc>
          <w:tcPr>
            <w:tcW w:type="dxa" w:w="4320"/>
          </w:tcPr>
          <w:p>
            <w:r>
              <w:t>49,000,000 RWF</w:t>
            </w:r>
          </w:p>
        </w:tc>
      </w:tr>
      <w:tr>
        <w:tc>
          <w:tcPr>
            <w:tcW w:type="dxa" w:w="4320"/>
          </w:tcPr>
          <w:p>
            <w:r>
              <w:t>Base Year 2 Revenue</w:t>
            </w:r>
          </w:p>
        </w:tc>
        <w:tc>
          <w:tcPr>
            <w:tcW w:type="dxa" w:w="4320"/>
          </w:tcPr>
          <w:p>
            <w:r>
              <w:t>72,000,000 RWF</w:t>
            </w:r>
          </w:p>
        </w:tc>
      </w:tr>
      <w:tr>
        <w:tc>
          <w:tcPr>
            <w:tcW w:type="dxa" w:w="4320"/>
          </w:tcPr>
          <w:p>
            <w:r>
              <w:t>Upside Year 2 Revenue</w:t>
            </w:r>
          </w:p>
        </w:tc>
        <w:tc>
          <w:tcPr>
            <w:tcW w:type="dxa" w:w="4320"/>
          </w:tcPr>
          <w:p>
            <w:r>
              <w:t>95,000,000 RWF</w:t>
            </w:r>
          </w:p>
        </w:tc>
      </w:tr>
      <w:tr>
        <w:tc>
          <w:tcPr>
            <w:tcW w:type="dxa" w:w="4320"/>
          </w:tcPr>
          <w:p>
            <w:r>
              <w:t>Target Gross Margin</w:t>
            </w:r>
          </w:p>
        </w:tc>
        <w:tc>
          <w:tcPr>
            <w:tcW w:type="dxa" w:w="4320"/>
          </w:tcPr>
          <w:p>
            <w:r>
              <w:t>64%</w:t>
            </w:r>
          </w:p>
        </w:tc>
      </w:tr>
      <w:tr>
        <w:tc>
          <w:tcPr>
            <w:tcW w:type="dxa" w:w="4320"/>
          </w:tcPr>
          <w:p>
            <w:r>
              <w:t>Target EBITDA Margin (Month 24)</w:t>
            </w:r>
          </w:p>
        </w:tc>
        <w:tc>
          <w:tcPr>
            <w:tcW w:type="dxa" w:w="4320"/>
          </w:tcPr>
          <w:p>
            <w:r>
              <w:t>29%</w:t>
            </w:r>
          </w:p>
        </w:tc>
      </w:tr>
    </w:tbl>
    <w:p>
      <w:pPr>
        <w:pStyle w:val="Heading1"/>
      </w:pPr>
      <w:r>
        <w:t>7) Final Destination (Month 24)</w:t>
      </w:r>
    </w:p>
    <w:p>
      <w:r>
        <w:rPr>
          <w:b/>
        </w:rPr>
        <w:t xml:space="preserve">FINAL DESTINATION: </w:t>
      </w:r>
      <w:r>
        <w:t>By Month 24, operate the leading trusted student-housing network in priority zones with strong recurring landlord SaaS revenue.</w:t>
      </w:r>
    </w:p>
    <w:p>
      <w:pPr>
        <w:pStyle w:val="Heading1"/>
      </w:pPr>
      <w:r>
        <w:t>8) Milestone Ladder</w:t>
      </w:r>
    </w:p>
    <w:p>
      <w:pPr>
        <w:pStyle w:val="ListBullet"/>
      </w:pPr>
      <w:r>
        <w:t>Day 0-90: 150 verified beds, 60 completed placements, arrears workflow launched</w:t>
      </w:r>
    </w:p>
    <w:p>
      <w:pPr>
        <w:pStyle w:val="ListBullet"/>
      </w:pPr>
      <w:r>
        <w:t>Month 4-12: 700 verified beds, recurring landlord subscriptions, churn controls implemented</w:t>
      </w:r>
    </w:p>
    <w:p>
      <w:pPr>
        <w:pStyle w:val="ListBullet"/>
      </w:pPr>
      <w:r>
        <w:t>Month 13-24: multi-campus category leadership with repeatable zone-launch playbook</w:t>
      </w:r>
    </w:p>
    <w:p>
      <w:pPr>
        <w:pStyle w:val="Heading1"/>
      </w:pPr>
      <w:r>
        <w:t>9) KPI Command Center</w:t>
      </w:r>
    </w:p>
    <w:p>
      <w:pPr>
        <w:pStyle w:val="ListBullet"/>
      </w:pPr>
      <w:r>
        <w:t>Lead-to-customer conversion (%)</w:t>
      </w:r>
    </w:p>
    <w:p>
      <w:pPr>
        <w:pStyle w:val="ListBullet"/>
      </w:pPr>
      <w:r>
        <w:t>Monthly recurring revenue (RWF)</w:t>
      </w:r>
    </w:p>
    <w:p>
      <w:pPr>
        <w:pStyle w:val="ListBullet"/>
      </w:pPr>
      <w:r>
        <w:t>Gross margin (%)</w:t>
      </w:r>
    </w:p>
    <w:p>
      <w:pPr>
        <w:pStyle w:val="ListBullet"/>
      </w:pPr>
      <w:r>
        <w:t>CAC payback period (months)</w:t>
      </w:r>
    </w:p>
    <w:p>
      <w:pPr>
        <w:pStyle w:val="ListBullet"/>
      </w:pPr>
      <w:r>
        <w:t>Customer retention / churn</w:t>
      </w:r>
    </w:p>
    <w:p>
      <w:pPr>
        <w:pStyle w:val="ListBullet"/>
      </w:pPr>
      <w:r>
        <w:t>Contribution margin per customer</w:t>
      </w:r>
    </w:p>
    <w:p>
      <w:pPr>
        <w:pStyle w:val="ListBullet"/>
      </w:pPr>
      <w:r>
        <w:t>On-time payment rate (%)</w:t>
      </w:r>
    </w:p>
    <w:p>
      <w:pPr>
        <w:pStyle w:val="ListBullet"/>
      </w:pPr>
      <w:r>
        <w:t>Partner-sourced revenue share (%)</w:t>
      </w:r>
    </w:p>
    <w:p>
      <w:pPr>
        <w:pStyle w:val="Heading1"/>
      </w:pPr>
      <w:r>
        <w:t>10) Risks, Kill-Criteria, and Mitigations</w:t>
      </w:r>
    </w:p>
    <w:p>
      <w:pPr>
        <w:pStyle w:val="ListBullet"/>
      </w:pPr>
      <w:r>
        <w:t>Risk: fraudulent listings. Mitigation: KYC and periodic re-verification protocol.</w:t>
      </w:r>
    </w:p>
    <w:p>
      <w:pPr>
        <w:pStyle w:val="ListBullet"/>
      </w:pPr>
      <w:r>
        <w:t>Risk: seasonal occupancy volatility. Mitigation: staggered lease products and pre-booking campaigns.</w:t>
      </w:r>
    </w:p>
    <w:p>
      <w:pPr>
        <w:pStyle w:val="ListBullet"/>
      </w:pPr>
      <w:r>
        <w:t>Kill criterion: placement conversion below 15% for 3 consecutive months post-launch.</w:t>
      </w:r>
    </w:p>
    <w:p>
      <w:pPr>
        <w:pStyle w:val="Heading1"/>
      </w:pPr>
      <w:r>
        <w:t>11) Final Destination Diagram (Mermaid PNG)</w:t>
      </w:r>
    </w:p>
    <w:p>
      <w:r>
        <w:drawing>
          <wp:inline xmlns:a="http://schemas.openxmlformats.org/drawingml/2006/main" xmlns:pic="http://schemas.openxmlformats.org/drawingml/2006/picture">
            <wp:extent cx="5669280" cy="376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3_flow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12) Source &amp; Validation</w:t>
      </w:r>
    </w:p>
    <w:p>
      <w:r>
        <w:t>Validation note (2026-04-18): Where live statistics were not retrievable in-session, figures are explicit planning assumptions. Verify current indicators with NISR, BNR, RURA, and RDB before investor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