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963858" w:rsidRDefault="00E7756E" w:rsidP="005148DE">
      <w:pPr>
        <w:spacing w:line="312" w:lineRule="auto" w:after="120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t>PEFT 任务调度算法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 w:after="120"/>
        <w:jc w:val="center"/>
        <w:rPr>
          <w:rFonts w:eastAsia="黑体"/>
          <w:b/>
          <w:bCs/>
          <w:sz w:val="48"/>
          <w:szCs w:val="48"/>
        </w:rPr>
      </w:pPr>
      <w:r>
        <w:t>模块二 AI 辅助测试报告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>
            <w:r>
              <w:t>2026-09-20</w:t>
            </w:r>
          </w:p>
        </w:tc>
        <w:tc>
          <w:tcPr>
            <w:tcW w:w="1260" w:type="dxa"/>
            <w:vAlign w:val="center"/>
          </w:tcPr>
          <w:p>
            <w:r>
              <w:t>V1.0</w:t>
            </w:r>
          </w:p>
        </w:tc>
        <w:tc>
          <w:tcPr>
            <w:tcW w:w="3600" w:type="dxa"/>
            <w:vAlign w:val="center"/>
          </w:tcPr>
          <w:p>
            <w:r>
              <w:t>完成模块二测试、缺陷修复与验证</w:t>
            </w:r>
          </w:p>
        </w:tc>
        <w:tc>
          <w:tcPr>
            <w:tcW w:w="1138" w:type="dxa"/>
            <w:vAlign w:val="center"/>
          </w:tcPr>
          <w:p>
            <w:r>
              <w:t>Djie1234 / AI辅助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6385F56" w14:textId="4F5DFCF7" w:rsidR="006430AB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39678748" w:history="1">
        <w:r w:rsidR="006430AB" w:rsidRPr="00382146">
          <w:rPr>
            <w:rStyle w:val="a7"/>
          </w:rPr>
          <w:t xml:space="preserve">1 </w:t>
        </w:r>
        <w:r w:rsidR="006430AB" w:rsidRPr="00382146">
          <w:rPr>
            <w:rStyle w:val="a7"/>
          </w:rPr>
          <w:t>被测对象及</w:t>
        </w:r>
        <w:r w:rsidR="006430AB" w:rsidRPr="00382146">
          <w:rPr>
            <w:rStyle w:val="a7"/>
          </w:rPr>
          <w:t>AI</w:t>
        </w:r>
        <w:r w:rsidR="006430AB" w:rsidRPr="00382146">
          <w:rPr>
            <w:rStyle w:val="a7"/>
          </w:rPr>
          <w:t>融合方案概述</w:t>
        </w:r>
        <w:r w:rsidR="006430AB">
          <w:rPr>
            <w:webHidden/>
          </w:rPr>
          <w:tab/>
        </w:r>
        <w:r w:rsidR="006430AB">
          <w:rPr>
            <w:webHidden/>
          </w:rPr>
          <w:fldChar w:fldCharType="begin"/>
        </w:r>
        <w:r w:rsidR="006430AB">
          <w:rPr>
            <w:webHidden/>
          </w:rPr>
          <w:instrText xml:space="preserve"> PAGEREF _Toc239678748 \h </w:instrText>
        </w:r>
        <w:r w:rsidR="006430AB">
          <w:rPr>
            <w:webHidden/>
          </w:rPr>
        </w:r>
        <w:r w:rsidR="006430AB">
          <w:rPr>
            <w:webHidden/>
          </w:rPr>
          <w:fldChar w:fldCharType="separate"/>
        </w:r>
        <w:r w:rsidR="006430AB">
          <w:rPr>
            <w:webHidden/>
          </w:rPr>
          <w:t>3</w:t>
        </w:r>
        <w:r w:rsidR="006430AB">
          <w:rPr>
            <w:webHidden/>
          </w:rPr>
          <w:fldChar w:fldCharType="end"/>
        </w:r>
      </w:hyperlink>
    </w:p>
    <w:p w14:paraId="1BAE4D45" w14:textId="2BEF8AE8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49" w:history="1">
        <w:r w:rsidRPr="00382146">
          <w:rPr>
            <w:rStyle w:val="a7"/>
          </w:rPr>
          <w:t>2 AI</w:t>
        </w:r>
        <w:r w:rsidRPr="00382146">
          <w:rPr>
            <w:rStyle w:val="a7"/>
          </w:rPr>
          <w:t>实践过程与成果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8D7208B" w14:textId="046B1AE7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0" w:history="1">
        <w:r w:rsidRPr="00382146">
          <w:rPr>
            <w:rStyle w:val="a7"/>
            <w:noProof/>
          </w:rPr>
          <w:t xml:space="preserve">2.1 </w:t>
        </w:r>
        <w:r w:rsidRPr="00382146">
          <w:rPr>
            <w:rStyle w:val="a7"/>
            <w:noProof/>
          </w:rPr>
          <w:t>实践过程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082B1F" w14:textId="6D830641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1" w:history="1">
        <w:r w:rsidRPr="00382146">
          <w:rPr>
            <w:rStyle w:val="a7"/>
            <w:noProof/>
          </w:rPr>
          <w:t xml:space="preserve">2.2 </w:t>
        </w:r>
        <w:r w:rsidRPr="00382146">
          <w:rPr>
            <w:rStyle w:val="a7"/>
            <w:noProof/>
          </w:rPr>
          <w:t>新增测试成果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6B07B3" w14:textId="6A871934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2" w:history="1">
        <w:r w:rsidRPr="00382146">
          <w:rPr>
            <w:rStyle w:val="a7"/>
            <w:noProof/>
          </w:rPr>
          <w:t xml:space="preserve">2.3 </w:t>
        </w:r>
        <w:r w:rsidRPr="00382146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1323C9" w14:textId="0AED3E8F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53" w:history="1">
        <w:r w:rsidRPr="00382146">
          <w:rPr>
            <w:rStyle w:val="a7"/>
          </w:rPr>
          <w:t>3 AI</w:t>
        </w:r>
        <w:r w:rsidRPr="00382146">
          <w:rPr>
            <w:rStyle w:val="a7"/>
          </w:rPr>
          <w:t>反思与批判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50B3FB" w14:textId="2CA2F29D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54" w:history="1">
        <w:r w:rsidRPr="00382146">
          <w:rPr>
            <w:rStyle w:val="a7"/>
          </w:rPr>
          <w:t xml:space="preserve">6 </w:t>
        </w:r>
        <w:r w:rsidRPr="00382146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5E3E6CB" w14:textId="1915757C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69ED1DD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8748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</w:t>
      </w:r>
      <w:r w:rsidR="006430AB">
        <w:rPr>
          <w:rFonts w:hint="eastAsia"/>
          <w:sz w:val="28"/>
          <w:szCs w:val="28"/>
        </w:rPr>
        <w:t>及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融合方案</w:t>
      </w:r>
      <w:r w:rsidR="003F2570" w:rsidRPr="00963858">
        <w:rPr>
          <w:sz w:val="28"/>
          <w:szCs w:val="28"/>
        </w:rPr>
        <w:t>概述</w:t>
      </w:r>
      <w:bookmarkEnd w:id="0"/>
    </w:p>
    <w:p w14:paraId="7AA79872" w14:textId="489DA2DB" w:rsidR="00C1749D" w:rsidRDefault="00C1749D" w:rsidP="005148DE">
      <w:pPr>
        <w:spacing w:line="312" w:lineRule="auto" w:after="120"/>
        <w:ind w:firstLine="420"/>
        <w:rPr>
          <w:iCs/>
          <w:color w:val="0000FF"/>
        </w:rPr>
      </w:pPr>
      <w:r>
        <w:t>被测对象为 PEFT（Predict Earliest Finish Time）有向无环任务图调度项目。系统以任务 DAG、计算时间矩阵、处理器通信带宽矩阵及已有任务队列为输入，返回每个处理器的排程、任务事件和前驱映射。本次以已上传模块一基线 d38620b 为起点，重点测试 peft/peft.py 中 schedule_dag 与 _compute_eft 的已有任务空隙插入逻辑，同时检查输入契约和输出副作用。</w:t>
      </w:r>
    </w:p>
    <w:p w14:paraId="3E5B39B6" w14:textId="01619817" w:rsidR="006430AB" w:rsidRPr="006430AB" w:rsidRDefault="006430AB" w:rsidP="006430AB">
      <w:pPr>
        <w:spacing w:line="312" w:lineRule="auto" w:after="120"/>
        <w:ind w:firstLine="420"/>
        <w:rPr>
          <w:iCs/>
          <w:color w:val="0000FF"/>
        </w:rPr>
      </w:pPr>
      <w:r>
        <w:t>选择课程方案 2“AI 测”：使用 Codex AI 助手提出候选场景、编写 pytest 代码、比较实际与预期、定位缺陷并生成文档。AI 不作为正确性判据；预期结果来自调度函数“最早可插入位置”的定义、无重叠约束和输入校验契约，并由可重复运行的断言验证。</w:t>
      </w:r>
    </w:p>
    <w:p w14:paraId="3623D2BC" w14:textId="4EFA5D79" w:rsidR="006430AB" w:rsidRDefault="006430AB" w:rsidP="006430AB">
      <w:pPr>
        <w:spacing w:line="312" w:lineRule="auto" w:after="120"/>
        <w:ind w:firstLine="420"/>
        <w:rPr>
          <w:iCs/>
          <w:color w:val="0000FF"/>
        </w:rPr>
      </w:pPr>
      <w:r>
        <w:t>AI 使用范围：场景构思、测试代码草拟、失败解释、最小修复建议及文档起草。被测系统未嵌入 AI 模块，故本项不适用。</w:t>
      </w:r>
    </w:p>
    <w:p w14:paraId="4CC1DED9" w14:textId="3A96DC7C" w:rsidR="006430AB" w:rsidRPr="006430AB" w:rsidRDefault="006430AB" w:rsidP="006430AB">
      <w:pPr>
        <w:spacing w:line="312" w:lineRule="auto" w:after="120"/>
        <w:ind w:firstLine="420"/>
        <w:rPr>
          <w:iCs/>
          <w:color w:val="0000FF"/>
        </w:rPr>
      </w:pPr>
      <w:r>
        <w:t>工具为 Codex AI 编程助手（服务端模型版本可能随平台配置变化，不把未知版本写成固定值）。输入为本项目代码、模块一 36 条现有用例及作业要求；输出为候选清单、20 条新用例和同号脚本、失败/回归记录。关键过程保存在 AI过程记录.md。</w:t>
      </w:r>
    </w:p>
    <w:p w14:paraId="104F8C5D" w14:textId="1809F3A5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8749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实践过程与成果</w:t>
      </w:r>
      <w:bookmarkEnd w:id="1"/>
    </w:p>
    <w:p w14:paraId="1EAC3553" w14:textId="1178C002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8750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="006430AB">
        <w:rPr>
          <w:rFonts w:ascii="Times New Roman" w:hAnsi="Times New Roman" w:hint="eastAsia"/>
          <w:sz w:val="24"/>
          <w:szCs w:val="24"/>
        </w:rPr>
        <w:t>实践过程</w:t>
      </w:r>
      <w:bookmarkEnd w:id="2"/>
    </w:p>
    <w:p w14:paraId="1636C2C5" w14:textId="31825E09" w:rsidR="006430AB" w:rsidRDefault="006430AB" w:rsidP="006430AB">
      <w:pPr>
        <w:spacing w:line="312" w:lineRule="auto" w:after="120"/>
        <w:ind w:firstLine="420"/>
        <w:rPr>
          <w:iCs/>
          <w:color w:val="0000FF"/>
        </w:rPr>
      </w:pPr>
      <w:r>
        <w:t>实施过程：① 从 d38620b 建独立工作树；② AI 提出 23 个候选，排除 3 个与模块一 TC-009、025、026 重复的场景，保留 20 条；③ 在未修复代码上执行，20 条中 16 通过、4 失败；④ 对同一根因进行最小修复；⑤ 再执行模块二 20 条及模块一 36 条、原项目 2 条，总计 58 条通过。测试设计混用边界值、无效等价类、状态保持和回归测试，脚本与 Excel 编号一一对应。</w:t>
      </w:r>
    </w:p>
    <w:p w14:paraId="4E71393C" w14:textId="6F0D7020" w:rsidR="003F2570" w:rsidRPr="006430AB" w:rsidRDefault="006430AB" w:rsidP="006430AB">
      <w:pPr>
        <w:spacing w:line="312" w:lineRule="auto" w:after="120"/>
        <w:ind w:firstLine="420"/>
        <w:rPr>
          <w:iCs/>
          <w:color w:val="0000FF"/>
        </w:rPr>
      </w:pPr>
      <w:r>
        <w:t>AI 原始建议与最终成果的差异：原始 23 个候选含 3 个模块一重复场景；最终去重后为 20 条。四个失败经代码检查归并为一个首空隙 exact-fit 缺陷。原始建议、删改理由及命令在 AI过程记录.md，原始 JUnit 见 evidence/baseline-fail.xml。颜子轩和余璨共同审阅最终用例与缺陷结论。</w:t>
      </w:r>
    </w:p>
    <w:p w14:paraId="72B53BD0" w14:textId="5221B10C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8751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6430AB">
        <w:rPr>
          <w:rFonts w:ascii="Times New Roman" w:hAnsi="Times New Roman" w:hint="eastAsia"/>
          <w:sz w:val="24"/>
          <w:szCs w:val="24"/>
        </w:rPr>
        <w:t>新增</w:t>
      </w:r>
      <w:r w:rsidR="003F2570" w:rsidRPr="00963858">
        <w:rPr>
          <w:rFonts w:ascii="Times New Roman" w:hAnsi="Times New Roman"/>
          <w:sz w:val="24"/>
          <w:szCs w:val="24"/>
        </w:rPr>
        <w:t>测试</w:t>
      </w:r>
      <w:r w:rsidR="006430AB">
        <w:rPr>
          <w:rFonts w:ascii="Times New Roman" w:hAnsi="Times New Roman" w:hint="eastAsia"/>
          <w:sz w:val="24"/>
          <w:szCs w:val="24"/>
        </w:rPr>
        <w:t>成果</w:t>
      </w:r>
      <w:bookmarkEnd w:id="3"/>
    </w:p>
    <w:p w14:paraId="5AC94024" w14:textId="48FB1676" w:rsidR="006430AB" w:rsidRPr="006430AB" w:rsidRDefault="006430AB" w:rsidP="006430AB">
      <w:pPr>
        <w:spacing w:line="312" w:lineRule="auto" w:after="120"/>
        <w:ind w:firstLine="420"/>
        <w:rPr>
          <w:iCs/>
          <w:color w:val="0000FF"/>
        </w:rPr>
      </w:pPr>
      <w:r>
        <w:t>新增用例 M2-TC-001～020 均在附录 1 格式的 PEFT_模块二_测试用例清单.xlsx 中列出，以下为编号、意图及修复后结果。用例函数位于 tests_module2/test_module2.py；全部 20/20 通过。</w:t>
      </w:r>
    </w:p>
    <w:p w14:paraId="1E9811DB" w14:textId="40D4736B" w:rsidR="006430AB" w:rsidRDefault="006430AB" w:rsidP="006430AB">
      <w:pPr>
        <w:spacing w:line="312" w:lineRule="auto" w:after="120"/>
        <w:ind w:firstLine="420"/>
        <w:rPr>
          <w:iCs/>
          <w:color w:val="0000FF"/>
        </w:rPr>
      </w:pPr>
      <w:r>
        <w:t>确认缺陷 DEF-M2-001：已有事件 [2,4] 时，耗时 2 的新任务应插入 [0,2]，基线却排在 [4,6]。代码首空隙判断采用 &gt; 0，错误排除了恰好容纳的边界；内部空隙已采用 &gt;= 0。修复仅将首空隙条件改为 &gt;= 0。修复前 M2-TC-001、002、003、009 失败，修复后四条通过，全部 58 条回归通过；未观察到第二个可确证缺陷。详见缺陷报告和三份 JUnit XML。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5102"/>
        <w:gridCol w:w="1361"/>
      </w:tblGrid>
      <w:tr>
        <w:trPr>
          <w:tblHeader w:val="true"/>
        </w:trPr>
        <w:tc>
          <w:tcPr>
            <w:tcW w:type="dxa" w:w="2769"/>
          </w:tcPr>
          <w:p>
            <w:r>
              <w:t>用例编号</w:t>
            </w:r>
          </w:p>
        </w:tc>
        <w:tc>
          <w:tcPr>
            <w:tcW w:type="dxa" w:w="2769"/>
          </w:tcPr>
          <w:p>
            <w:r>
              <w:t>测试意图</w:t>
            </w:r>
          </w:p>
        </w:tc>
        <w:tc>
          <w:tcPr>
            <w:tcW w:type="dxa" w:w="2769"/>
          </w:tcPr>
          <w:p>
            <w:r>
              <w:t>修复后</w:t>
            </w:r>
          </w:p>
        </w:tc>
      </w:tr>
      <w:tr>
        <w:tc>
          <w:tcPr>
            <w:tcW w:type="dxa" w:w="2769"/>
          </w:tcPr>
          <w:p>
            <w:r>
              <w:t>M2-TC-001</w:t>
            </w:r>
          </w:p>
        </w:tc>
        <w:tc>
          <w:tcPr>
            <w:tcW w:type="dxa" w:w="2769"/>
          </w:tcPr>
          <w:p>
            <w:r>
              <w:t>首空隙整时 exact-fit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M2-TC-002</w:t>
            </w:r>
          </w:p>
        </w:tc>
        <w:tc>
          <w:tcPr>
            <w:tcW w:type="dxa" w:w="2769"/>
          </w:tcPr>
          <w:p>
            <w:r>
              <w:t>小数 exact-fit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M2-TC-003</w:t>
            </w:r>
          </w:p>
        </w:tc>
        <w:tc>
          <w:tcPr>
            <w:tcW w:type="dxa" w:w="2769"/>
          </w:tcPr>
          <w:p>
            <w:r>
              <w:t>非零偏移 exact-fit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M2-TC-004</w:t>
            </w:r>
          </w:p>
        </w:tc>
        <w:tc>
          <w:tcPr>
            <w:tcW w:type="dxa" w:w="2769"/>
          </w:tcPr>
          <w:p>
            <w:r>
              <w:t>首空隙较大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M2-TC-005</w:t>
            </w:r>
          </w:p>
        </w:tc>
        <w:tc>
          <w:tcPr>
            <w:tcW w:type="dxa" w:w="2769"/>
          </w:tcPr>
          <w:p>
            <w:r>
              <w:t>首空隙较小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M2-TC-006</w:t>
            </w:r>
          </w:p>
        </w:tc>
        <w:tc>
          <w:tcPr>
            <w:tcW w:type="dxa" w:w="2769"/>
          </w:tcPr>
          <w:p>
            <w:r>
              <w:t>内部空隙 exact-fit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M2-TC-007</w:t>
            </w:r>
          </w:p>
        </w:tc>
        <w:tc>
          <w:tcPr>
            <w:tcW w:type="dxa" w:w="2769"/>
          </w:tcPr>
          <w:p>
            <w:r>
              <w:t>内部空隙偏移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M2-TC-008</w:t>
            </w:r>
          </w:p>
        </w:tc>
        <w:tc>
          <w:tcPr>
            <w:tcW w:type="dxa" w:w="2769"/>
          </w:tcPr>
          <w:p>
            <w:r>
              <w:t>已有事件保留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M2-TC-009</w:t>
            </w:r>
          </w:p>
        </w:tc>
        <w:tc>
          <w:tcPr>
            <w:tcW w:type="dxa" w:w="2769"/>
          </w:tcPr>
          <w:p>
            <w:r>
              <w:t>前驱映射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M2-TC-010</w:t>
            </w:r>
          </w:p>
        </w:tc>
        <w:tc>
          <w:tcPr>
            <w:tcW w:type="dxa" w:w="2769"/>
          </w:tcPr>
          <w:p>
            <w:r>
              <w:t>DAG 无副作用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M2-TC-011</w:t>
            </w:r>
          </w:p>
        </w:tc>
        <w:tc>
          <w:tcPr>
            <w:tcW w:type="dxa" w:w="2769"/>
          </w:tcPr>
          <w:p>
            <w:r>
              <w:t>非方阵通信矩阵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M2-TC-012</w:t>
            </w:r>
          </w:p>
        </w:tc>
        <w:tc>
          <w:tcPr>
            <w:tcW w:type="dxa" w:w="2769"/>
          </w:tcPr>
          <w:p>
            <w:r>
              <w:t>通信 Inf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M2-TC-013</w:t>
            </w:r>
          </w:p>
        </w:tc>
        <w:tc>
          <w:tcPr>
            <w:tcW w:type="dxa" w:w="2769"/>
          </w:tcPr>
          <w:p>
            <w:r>
              <w:t>负通信值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M2-TC-014</w:t>
            </w:r>
          </w:p>
        </w:tc>
        <w:tc>
          <w:tcPr>
            <w:tcW w:type="dxa" w:w="2769"/>
          </w:tcPr>
          <w:p>
            <w:r>
              <w:t>零处理器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M2-TC-015</w:t>
            </w:r>
          </w:p>
        </w:tc>
        <w:tc>
          <w:tcPr>
            <w:tcW w:type="dxa" w:w="2769"/>
          </w:tcPr>
          <w:p>
            <w:r>
              <w:t>多根 DAG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M2-TC-016</w:t>
            </w:r>
          </w:p>
        </w:tc>
        <w:tc>
          <w:tcPr>
            <w:tcW w:type="dxa" w:w="2769"/>
          </w:tcPr>
          <w:p>
            <w:r>
              <w:t>多终点 DAG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M2-TC-017</w:t>
            </w:r>
          </w:p>
        </w:tc>
        <w:tc>
          <w:tcPr>
            <w:tcW w:type="dxa" w:w="2769"/>
          </w:tcPr>
          <w:p>
            <w:r>
              <w:t>禁重标号非连续节点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M2-TC-018</w:t>
            </w:r>
          </w:p>
        </w:tc>
        <w:tc>
          <w:tcPr>
            <w:tcW w:type="dxa" w:w="2769"/>
          </w:tcPr>
          <w:p>
            <w:r>
              <w:t>无向图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M2-TC-019</w:t>
            </w:r>
          </w:p>
        </w:tc>
        <w:tc>
          <w:tcPr>
            <w:tcW w:type="dxa" w:w="2769"/>
          </w:tcPr>
          <w:p>
            <w:r>
              <w:t>一维计算矩阵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  <w:tr>
        <w:tc>
          <w:tcPr>
            <w:tcW w:type="dxa" w:w="2769"/>
          </w:tcPr>
          <w:p>
            <w:r>
              <w:t>M2-TC-020</w:t>
            </w:r>
          </w:p>
        </w:tc>
        <w:tc>
          <w:tcPr>
            <w:tcW w:type="dxa" w:w="2769"/>
          </w:tcPr>
          <w:p>
            <w:r>
              <w:t>元组矩阵正规化</w:t>
            </w:r>
          </w:p>
        </w:tc>
        <w:tc>
          <w:tcPr>
            <w:tcW w:type="dxa" w:w="2769"/>
          </w:tcPr>
          <w:p>
            <w:r>
              <w:t>通过</w:t>
            </w:r>
          </w:p>
        </w:tc>
      </w:tr>
    </w:tbl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8752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12" w:lineRule="auto" w:after="120"/>
        <w:ind w:firstLineChars="200" w:firstLine="420"/>
        <w:rPr>
          <w:iCs/>
          <w:color w:val="0000FF"/>
        </w:rPr>
      </w:pPr>
      <w:r>
        <w:t>执行环境：Windows 11 家庭版中文版（Build 26200，64 位）；Python 3.11.2；pytest 7.1.2；NumPy 1.26.4；NetworkX 2.8.5；Matplotlib 3.7.5。硬件内存约 15.4 GB。项目使用本地解释器执行，无数据库、外部服务或网络连接依赖。</w:t>
      </w:r>
    </w:p>
    <w:p w14:paraId="1C1B9113" w14:textId="19C32893" w:rsidR="003F2570" w:rsidRPr="00963858" w:rsidRDefault="00C1749D" w:rsidP="00963858">
      <w:pPr>
        <w:spacing w:line="312" w:lineRule="auto" w:after="120"/>
        <w:ind w:firstLineChars="200" w:firstLine="420"/>
        <w:rPr>
          <w:i/>
          <w:color w:val="0000FF"/>
        </w:rPr>
      </w:pPr>
      <w:r>
        <w:t>运行命令：在项目根目录执行 python run_module2_tests.py。该入口调用 pytest 运行 tests_module2、tests_module1 与 peft/test，输出 JUnit 与 HTML 覆盖率。实测 58 passed，整体语句覆盖率 82%；原始 JUnit 文件在 module2-deliverables/evidence/，可独立复核。</w:t>
      </w:r>
    </w:p>
    <w:p w14:paraId="2E6F6A88" w14:textId="512892E4" w:rsidR="004E118D" w:rsidRPr="00963858" w:rsidRDefault="00C1749D" w:rsidP="003F2570">
      <w:pPr>
        <w:pStyle w:val="1"/>
        <w:spacing w:before="240" w:after="240" w:line="312" w:lineRule="auto"/>
        <w:rPr>
          <w:rFonts w:hint="eastAsia"/>
          <w:sz w:val="28"/>
          <w:szCs w:val="28"/>
        </w:rPr>
      </w:pPr>
      <w:bookmarkStart w:id="5" w:name="_Toc35958953"/>
      <w:bookmarkStart w:id="6" w:name="_Toc239678753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bookmarkEnd w:id="5"/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反思与批判</w:t>
      </w:r>
      <w:bookmarkEnd w:id="6"/>
    </w:p>
    <w:p w14:paraId="06A2F6A9" w14:textId="2DA92810" w:rsidR="006430AB" w:rsidRDefault="006430AB" w:rsidP="005148DE">
      <w:pPr>
        <w:spacing w:line="312" w:lineRule="auto" w:after="120"/>
        <w:ind w:firstLine="420"/>
        <w:rPr>
          <w:iCs/>
          <w:color w:val="0000FF"/>
        </w:rPr>
      </w:pPr>
      <w:r>
        <w:t>反思一：AI 系统在测试设计中的不足。被测 PEFT 是确定性算法，本轮讨论的 AI 是测试辅助工具而非被测算法；因此无法用 58 条测试证明 AI 输出永远正确，只能证明这些输入下的具体断言。</w:t>
      </w:r>
    </w:p>
    <w:p w14:paraId="69D7E287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 w:after="120"/>
        <w:ind w:firstLineChars="0"/>
        <w:rPr>
          <w:iCs/>
          <w:color w:val="0000FF"/>
        </w:rPr>
      </w:pPr>
      <w:r>
        <w:t>AI 的有效处：能快速扫描已有测试与代码分支，提出 exact-fit、非零偏移、矩阵维度等候选，并生成 20 个可执行函数，使边界缺陷在修复前稳定重现。</w:t>
      </w:r>
    </w:p>
    <w:p w14:paraId="1A1A41B1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 w:after="120"/>
        <w:ind w:firstLineChars="0"/>
        <w:rPr>
          <w:iCs/>
          <w:color w:val="0000FF"/>
        </w:rPr>
      </w:pPr>
      <w:r>
        <w:t>AI 的错误与局限：候选中 3 条与模块一重复；同一缺陷的 4 个失败容易被误计为 4 个缺陷。若只接受模型的自然语言判断而不先运行基线，就可能将猜测写成结果。</w:t>
      </w:r>
    </w:p>
    <w:p w14:paraId="7C56E54F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 w:after="120"/>
        <w:ind w:firstLineChars="0"/>
        <w:rPr>
          <w:iCs/>
          <w:color w:val="0000FF"/>
        </w:rPr>
      </w:pPr>
      <w:r>
        <w:t>测试挑战：调度预期需同时考虑任务准备时间、通信延迟和处理器空隙，复杂 DAG 很难人工给出唯一完整排程。本轮采用最小单处理器反例构造明确 oracle，并用全量回归防止副作用。</w:t>
      </w:r>
    </w:p>
    <w:p w14:paraId="2CA808E1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 w:after="120"/>
        <w:ind w:firstLineChars="0"/>
        <w:rPr>
          <w:iCs/>
          <w:color w:val="0000FF"/>
        </w:rPr>
      </w:pPr>
      <w:r>
        <w:t>结论：AI 可提高候选生成和脚本编写速度，但输出要经排重、可计算预期和红绿回归核对；不能仅以 AI 自信程度替代验证，也不能从有限测试推导整个系统无缺陷。</w:t>
      </w:r>
    </w:p>
    <w:p w14:paraId="401CF4E2" w14:textId="77777777" w:rsidR="006430AB" w:rsidRDefault="006430AB" w:rsidP="005148DE">
      <w:pPr>
        <w:spacing w:line="312" w:lineRule="auto"/>
        <w:ind w:firstLine="420"/>
        <w:rPr>
          <w:iCs/>
          <w:color w:val="0000FF"/>
        </w:rPr>
      </w:pPr>
    </w:p>
    <w:p w14:paraId="5ADE5D91" w14:textId="7CED8BE6" w:rsidR="0098147B" w:rsidRPr="006430AB" w:rsidRDefault="006430AB" w:rsidP="005148DE">
      <w:pPr>
        <w:spacing w:line="312" w:lineRule="auto" w:after="120"/>
        <w:ind w:firstLine="420"/>
        <w:rPr>
          <w:b/>
          <w:bCs/>
          <w:iCs/>
          <w:color w:val="0000FF"/>
        </w:rPr>
      </w:pPr>
      <w:r>
        <w:t>反思二：AI 作为测试工具的效用与风险。</w:t>
      </w:r>
    </w:p>
    <w:p w14:paraId="3FB4DA7B" w14:textId="205BCB19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 w:after="120"/>
        <w:ind w:firstLineChars="0"/>
        <w:rPr>
          <w:iCs/>
          <w:color w:val="0000FF"/>
        </w:rPr>
      </w:pPr>
      <w:r>
        <w:t>收益：辅助识别 &gt; 与 &gt;= 的边界差异，快速把数值、偏移和映射结果扩展为可重复的测试，并生成执行与报告草稿。</w:t>
      </w:r>
    </w:p>
    <w:p w14:paraId="182E7355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 w:after="120"/>
        <w:ind w:firstLineChars="0"/>
        <w:rPr>
          <w:iCs/>
          <w:color w:val="0000FF"/>
        </w:rPr>
      </w:pPr>
      <w:r>
        <w:t>陷阱：可能重复已有用例，或把同一根因夸大成多个缺陷。为此保留原始候选、pytest XML、环境版本与可复现命令，并通过小组审阅核查关键结论。</w:t>
      </w:r>
    </w:p>
    <w:p w14:paraId="490B44C4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 w:after="120"/>
        <w:ind w:firstLineChars="0"/>
        <w:rPr>
          <w:iCs/>
          <w:color w:val="0000FF"/>
        </w:rPr>
      </w:pPr>
      <w:r>
        <w:t>关键修正：剔除 3 条重复建议；将 4 条失败合并为 DEF-M2-001；最小代码改动为首空隙判定 &gt;= 0；修复后重新执行全部 58 条测试。</w:t>
      </w:r>
    </w:p>
    <w:p w14:paraId="5059F895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 w:after="120"/>
        <w:ind w:firstLineChars="0"/>
        <w:rPr>
          <w:iCs/>
          <w:color w:val="0000FF"/>
        </w:rPr>
      </w:pPr>
      <w:r>
        <w:t>角色定位：AI 是候选生成与实现助手，测试结论由小组根据输入、代码与执行证据复核。最终结论以可重复的自动化结果和实际排程为依据。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7" w:name="_Toc35958955"/>
      <w:bookmarkStart w:id="8" w:name="_Toc239678754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8"/>
    </w:p>
    <w:p w14:paraId="680B236A" w14:textId="4E6A7D14" w:rsidR="0098147B" w:rsidRPr="00963858" w:rsidRDefault="00963858" w:rsidP="00676B6A">
      <w:pPr>
        <w:spacing w:line="312" w:lineRule="auto" w:after="120"/>
        <w:ind w:firstLine="420"/>
        <w:rPr>
          <w:iCs/>
          <w:color w:val="0000FF"/>
        </w:rPr>
      </w:pPr>
      <w:r>
        <w:t>颜子轩与余璨合作完成模块二，贡献各占 50%。颜子轩侧重自动化测试、最小修复、运行记录和证据整理；余璨侧重测试用例复核、缺陷分析与报告整理。双方共同审阅最终测试结论。</w:t>
      </w:r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7F335" w14:textId="77777777" w:rsidR="00834DB3" w:rsidRDefault="00834DB3">
      <w:r>
        <w:separator/>
      </w:r>
    </w:p>
  </w:endnote>
  <w:endnote w:type="continuationSeparator" w:id="0">
    <w:p w14:paraId="5E34FECB" w14:textId="77777777" w:rsidR="00834DB3" w:rsidRDefault="0083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E6B4" w14:textId="77777777" w:rsidR="00834DB3" w:rsidRDefault="00834DB3">
      <w:r>
        <w:separator/>
      </w:r>
    </w:p>
  </w:footnote>
  <w:footnote w:type="continuationSeparator" w:id="0">
    <w:p w14:paraId="196BA8E6" w14:textId="77777777" w:rsidR="00834DB3" w:rsidRDefault="00834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26</cp:revision>
  <dcterms:created xsi:type="dcterms:W3CDTF">2019-03-10T14:14:00Z</dcterms:created>
  <dcterms:modified xsi:type="dcterms:W3CDTF">2026-09-07T05:06:00Z</dcterms:modified>
</cp:coreProperties>
</file>