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jc w:val="center"/>
      </w:pPr>
      <w:r>
        <w:rPr>
          <w:rFonts w:ascii="Calibri" w:cs="Calibri" w:eastAsia="Calibri" w:hAnsi="Calibri"/>
          <w:b/>
          <w:bCs/>
          <w:sz w:val="36"/>
          <w:szCs w:val="36"/>
        </w:rPr>
        <w:t xml:space="preserve">NitroDQN Application</w:t>
      </w:r>
    </w:p>
    <w:p>
      <w:pPr>
        <w:spacing w:after="160" w:line="300"/>
        <w:jc w:val="both"/>
      </w:pPr>
      <w:r>
        <w:rPr>
          <w:rFonts w:ascii="Calibri" w:cs="Calibri" w:eastAsia="Calibri" w:hAnsi="Calibri"/>
          <w:sz w:val="22"/>
          <w:szCs w:val="22"/>
        </w:rPr>
        <w:t xml:space="preserve">This section describes the web application built to demonstrate the trained DQN agent and its LLM co-pilot. The application is a single-page dashboard served by a FastAPI backend. It exposes the simulation loop, the agent's internal Q-values, and a chat interface to a language model that explains the agent's decisions in plain language.</w:t>
      </w:r>
    </w:p>
    <w:p>
      <w:pPr>
        <w:pStyle w:val="Heading2"/>
        <w:spacing w:after="160" w:before="320"/>
      </w:pPr>
      <w:r>
        <w:rPr>
          <w:rFonts w:ascii="Calibri" w:cs="Calibri" w:eastAsia="Calibri" w:hAnsi="Calibri"/>
          <w:b/>
          <w:bCs/>
          <w:sz w:val="28"/>
          <w:szCs w:val="28"/>
        </w:rPr>
        <w:t xml:space="preserve">1. Dashboard Overview</w:t>
      </w:r>
    </w:p>
    <w:p>
      <w:pPr>
        <w:spacing w:after="160" w:line="300"/>
        <w:jc w:val="both"/>
      </w:pPr>
      <w:r>
        <w:rPr>
          <w:rFonts w:ascii="Calibri" w:cs="Calibri" w:eastAsia="Calibri" w:hAnsi="Calibri"/>
          <w:sz w:val="22"/>
          <w:szCs w:val="22"/>
        </w:rPr>
        <w:t xml:space="preserve">The landing view (Figure 1) gives the user a complete picture of the system before any simulation is run. The left column reports the current crop status (cumulative nitrogen, stress, biomass, leaf area index, vegetative stage, rainfall, leached nitrogen). The centre column hosts the DQN controller (episode controls, manual override doses, the live Q-value bar chart, and the season timeline). The right column is reserved for the LLM co-pilot, organised into three tabs (State, Decision, Advisor). The bottom row shows the 1200-episode training history loaded from dqn_training_log.json.</w:t>
      </w:r>
    </w:p>
    <w:p>
      <w:pPr>
        <w:spacing w:after="80" w:before="120"/>
        <w:jc w:val="center"/>
      </w:pPr>
      <w:r>
        <w:drawing>
          <wp:inline distT="0" distB="0" distL="0" distR="0">
            <wp:extent cx="5715000" cy="3571875"/>
            <wp:effectExtent t="0" r="0" b="0" l="0"/>
            <wp:docPr id="1" name="01_dashboard_overview.png" descr="Figure 1 — Dashboard on first load." title="Figure 1 — Dashboard on first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80"/>
        <w:jc w:val="center"/>
      </w:pPr>
      <w:r>
        <w:rPr>
          <w:rFonts w:ascii="Calibri" w:cs="Calibri" w:eastAsia="Calibri" w:hAnsi="Calibri"/>
          <w:i/>
          <w:iCs/>
          <w:sz w:val="20"/>
          <w:szCs w:val="20"/>
        </w:rPr>
        <w:t xml:space="preserve">Figure 1 — Dashboard on first load.</w:t>
      </w:r>
    </w:p>
    <w:p>
      <w:pPr>
        <w:pStyle w:val="Heading2"/>
        <w:spacing w:after="160" w:before="320"/>
      </w:pPr>
      <w:r>
        <w:rPr>
          <w:rFonts w:ascii="Calibri" w:cs="Calibri" w:eastAsia="Calibri" w:hAnsi="Calibri"/>
          <w:b/>
          <w:bCs/>
          <w:sz w:val="28"/>
          <w:szCs w:val="28"/>
        </w:rPr>
        <w:t xml:space="preserve">2. State Explainer</w:t>
      </w:r>
    </w:p>
    <w:p>
      <w:pPr>
        <w:spacing w:after="160" w:line="300"/>
        <w:jc w:val="both"/>
      </w:pPr>
      <w:r>
        <w:rPr>
          <w:rFonts w:ascii="Calibri" w:cs="Calibri" w:eastAsia="Calibri" w:hAnsi="Calibri"/>
          <w:sz w:val="22"/>
          <w:szCs w:val="22"/>
        </w:rPr>
        <w:t xml:space="preserve">Once a season is started, the State tab (Figure 2) converts the raw observation dictionary returned by the DSSAT-compatible environment into a short natural-language summary aimed at a non-technical reader. The text is produced by the LLM service from the current values of nstres, xlai, vstage, cumsumfert, and rain.</w:t>
      </w:r>
    </w:p>
    <w:p>
      <w:pPr>
        <w:spacing w:after="80" w:before="120"/>
        <w:jc w:val="center"/>
      </w:pPr>
      <w:r>
        <w:drawing>
          <wp:inline distT="0" distB="0" distL="0" distR="0">
            <wp:extent cx="2476500" cy="5467350"/>
            <wp:effectExtent t="0" r="0" b="0" l="0"/>
            <wp:docPr id="1" name="02_state_explainer_cropped.png" descr="Figure 2 — State Explainer panel after starting an episode." title="Figure 2 — State Explainer panel after starting an epis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5467350"/>
                    </a:xfrm>
                    <a:prstGeom prst="rect">
                      <a:avLst/>
                    </a:prstGeom>
                  </pic:spPr>
                </pic:pic>
              </a:graphicData>
            </a:graphic>
          </wp:inline>
        </w:drawing>
      </w:r>
    </w:p>
    <w:p>
      <w:pPr>
        <w:spacing w:after="280"/>
        <w:jc w:val="center"/>
      </w:pPr>
      <w:r>
        <w:rPr>
          <w:rFonts w:ascii="Calibri" w:cs="Calibri" w:eastAsia="Calibri" w:hAnsi="Calibri"/>
          <w:i/>
          <w:iCs/>
          <w:sz w:val="20"/>
          <w:szCs w:val="20"/>
        </w:rPr>
        <w:t xml:space="preserve">Figure 2 — State Explainer panel after starting an episode.</w:t>
      </w:r>
    </w:p>
    <w:p>
      <w:pPr>
        <w:pStyle w:val="Heading2"/>
        <w:spacing w:after="160" w:before="320"/>
      </w:pPr>
      <w:r>
        <w:rPr>
          <w:rFonts w:ascii="Calibri" w:cs="Calibri" w:eastAsia="Calibri" w:hAnsi="Calibri"/>
          <w:b/>
          <w:bCs/>
          <w:sz w:val="28"/>
          <w:szCs w:val="28"/>
        </w:rPr>
        <w:t xml:space="preserve">3. Decision Narrator</w:t>
      </w:r>
    </w:p>
    <w:p>
      <w:pPr>
        <w:spacing w:after="160" w:line="300"/>
        <w:jc w:val="both"/>
      </w:pPr>
      <w:r>
        <w:rPr>
          <w:rFonts w:ascii="Calibri" w:cs="Calibri" w:eastAsia="Calibri" w:hAnsi="Calibri"/>
          <w:sz w:val="22"/>
          <w:szCs w:val="22"/>
        </w:rPr>
        <w:t xml:space="preserve">After each step, the Decision tab (Figure 3) explains why the DQN chose a particular fertilizer dose. The panel reports the chosen action, the Q-value margin over the next-best action (a proxy for confidence), and the dominant state variables that drove the choice. The Q-values for all five actions are listed below the prose explanation so the user can compare the alternatives.</w:t>
      </w:r>
    </w:p>
    <w:p>
      <w:pPr>
        <w:spacing w:after="80" w:before="120"/>
        <w:jc w:val="center"/>
      </w:pPr>
      <w:r>
        <w:drawing>
          <wp:inline distT="0" distB="0" distL="0" distR="0">
            <wp:extent cx="2476500" cy="5467350"/>
            <wp:effectExtent t="0" r="0" b="0" l="0"/>
            <wp:docPr id="1" name="03_decision_narrator_cropped.png" descr="Figure 3 — Decision Narrator after a single DQN step." title="Figure 3 — Decision Narrator after a single DQ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467350"/>
                    </a:xfrm>
                    <a:prstGeom prst="rect">
                      <a:avLst/>
                    </a:prstGeom>
                  </pic:spPr>
                </pic:pic>
              </a:graphicData>
            </a:graphic>
          </wp:inline>
        </w:drawing>
      </w:r>
    </w:p>
    <w:p>
      <w:pPr>
        <w:spacing w:after="280"/>
        <w:jc w:val="center"/>
      </w:pPr>
      <w:r>
        <w:rPr>
          <w:rFonts w:ascii="Calibri" w:cs="Calibri" w:eastAsia="Calibri" w:hAnsi="Calibri"/>
          <w:i/>
          <w:iCs/>
          <w:sz w:val="20"/>
          <w:szCs w:val="20"/>
        </w:rPr>
        <w:t xml:space="preserve">Figure 3 — Decision Narrator after a single DQN step.</w:t>
      </w:r>
    </w:p>
    <w:p>
      <w:pPr>
        <w:pStyle w:val="Heading2"/>
        <w:spacing w:after="160" w:before="320"/>
      </w:pPr>
      <w:r>
        <w:rPr>
          <w:rFonts w:ascii="Calibri" w:cs="Calibri" w:eastAsia="Calibri" w:hAnsi="Calibri"/>
          <w:b/>
          <w:bCs/>
          <w:sz w:val="28"/>
          <w:szCs w:val="28"/>
        </w:rPr>
        <w:t xml:space="preserve">4. Season Progress and Manual Override</w:t>
      </w:r>
    </w:p>
    <w:p>
      <w:pPr>
        <w:spacing w:after="160" w:line="300"/>
        <w:jc w:val="both"/>
      </w:pPr>
      <w:r>
        <w:rPr>
          <w:rFonts w:ascii="Calibri" w:cs="Calibri" w:eastAsia="Calibri" w:hAnsi="Calibri"/>
          <w:sz w:val="22"/>
          <w:szCs w:val="22"/>
        </w:rPr>
        <w:t xml:space="preserve">The "Auto 10 Steps" and "Run Full Season" buttons advance the simulation under the greedy DQN policy without further input. The season timeline (Figure 4) draws each applied dose as a blue bar and overlays the evolving N-stress factor in red, making the relationship between fertilisation events and stress response visible at a glance. The five dose buttons above the chart let the user override the agent and apply any dose manually, which is useful for comparing the learned policy against simple baselines.</w:t>
      </w:r>
    </w:p>
    <w:p>
      <w:pPr>
        <w:spacing w:after="80" w:before="120"/>
        <w:jc w:val="center"/>
      </w:pPr>
      <w:r>
        <w:drawing>
          <wp:inline distT="0" distB="0" distL="0" distR="0">
            <wp:extent cx="5715000" cy="3571875"/>
            <wp:effectExtent t="0" r="0" b="0" l="0"/>
            <wp:docPr id="1" name="04_after_auto10.png" descr="Figure 4 — Season state after ten automated steps." title="Figure 4 — Season state after ten automat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80"/>
        <w:jc w:val="center"/>
      </w:pPr>
      <w:r>
        <w:rPr>
          <w:rFonts w:ascii="Calibri" w:cs="Calibri" w:eastAsia="Calibri" w:hAnsi="Calibri"/>
          <w:i/>
          <w:iCs/>
          <w:sz w:val="20"/>
          <w:szCs w:val="20"/>
        </w:rPr>
        <w:t xml:space="preserve">Figure 4 — Season state after ten automated steps.</w:t>
      </w:r>
    </w:p>
    <w:p>
      <w:pPr>
        <w:pStyle w:val="Heading2"/>
        <w:spacing w:after="160" w:before="320"/>
      </w:pPr>
      <w:r>
        <w:rPr>
          <w:rFonts w:ascii="Calibri" w:cs="Calibri" w:eastAsia="Calibri" w:hAnsi="Calibri"/>
          <w:b/>
          <w:bCs/>
          <w:sz w:val="28"/>
          <w:szCs w:val="28"/>
        </w:rPr>
        <w:t xml:space="preserve">5. Strategy Advisor (Chat)</w:t>
      </w:r>
    </w:p>
    <w:p>
      <w:pPr>
        <w:spacing w:after="160" w:line="300"/>
        <w:jc w:val="both"/>
      </w:pPr>
      <w:r>
        <w:rPr>
          <w:rFonts w:ascii="Calibri" w:cs="Calibri" w:eastAsia="Calibri" w:hAnsi="Calibri"/>
          <w:sz w:val="22"/>
          <w:szCs w:val="22"/>
        </w:rPr>
        <w:t xml:space="preserve">The Advisor tab (Figure 5) is a free-form chat interface that takes the current crop state as conversational context. The user can ask agronomic questions ("what does the nstres score mean and when should I worry?") and receive grounded answers from the language model. Conversation history is preserved across turns within the same session.</w:t>
      </w:r>
    </w:p>
    <w:p>
      <w:pPr>
        <w:spacing w:after="80" w:before="120"/>
        <w:jc w:val="center"/>
      </w:pPr>
      <w:r>
        <w:drawing>
          <wp:inline distT="0" distB="0" distL="0" distR="0">
            <wp:extent cx="2476500" cy="5467350"/>
            <wp:effectExtent t="0" r="0" b="0" l="0"/>
            <wp:docPr id="1" name="05_advisor_chat_cropped.png" descr="Figure 5 — Advisor chat with a sample question and reply." title="Figure 5 — Advisor chat with a sample question and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467350"/>
                    </a:xfrm>
                    <a:prstGeom prst="rect">
                      <a:avLst/>
                    </a:prstGeom>
                  </pic:spPr>
                </pic:pic>
              </a:graphicData>
            </a:graphic>
          </wp:inline>
        </w:drawing>
      </w:r>
    </w:p>
    <w:p>
      <w:pPr>
        <w:spacing w:after="280"/>
        <w:jc w:val="center"/>
      </w:pPr>
      <w:r>
        <w:rPr>
          <w:rFonts w:ascii="Calibri" w:cs="Calibri" w:eastAsia="Calibri" w:hAnsi="Calibri"/>
          <w:i/>
          <w:iCs/>
          <w:sz w:val="20"/>
          <w:szCs w:val="20"/>
        </w:rPr>
        <w:t xml:space="preserve">Figure 5 — Advisor chat with a sample question and reply.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bb3862cf33f1ba9213b3fcf2aeaf6108d13bb7.png"/><Relationship Id="rId8" Type="http://schemas.openxmlformats.org/officeDocument/2006/relationships/image" Target="media/e897e0b298e9fed2c8f292db3bbe4dd3872af122.png"/><Relationship Id="rId9" Type="http://schemas.openxmlformats.org/officeDocument/2006/relationships/image" Target="media/571156aa036e5f3e895a81d7779d2988e88174cb.png"/><Relationship Id="rId10" Type="http://schemas.openxmlformats.org/officeDocument/2006/relationships/image" Target="media/140ee77d78d5280937311f982fbd3db0c4db8ed3.png"/><Relationship Id="rId11" Type="http://schemas.openxmlformats.org/officeDocument/2006/relationships/image" Target="media/d20dd1810ecc92ec619bdc025b7412e960a5f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2026-05-26T20:39:40.914Z</dcterms:created>
  <dcterms:modified xsi:type="dcterms:W3CDTF">2026-05-26T20:39:40.915Z</dcterms:modified>
</cp:coreProperties>
</file>

<file path=docProps/custom.xml><?xml version="1.0" encoding="utf-8"?>
<Properties xmlns="http://schemas.openxmlformats.org/officeDocument/2006/custom-properties" xmlns:vt="http://schemas.openxmlformats.org/officeDocument/2006/docPropsVTypes"/>
</file>