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Practical scientific writing</w:t>
      </w:r>
    </w:p>
    <w:p>
      <w:pPr>
        <w:pStyle w:val="Subtitle"/>
      </w:pPr>
      <w:r>
        <w:t xml:space="preserve">Laboratory Work No. 5</w:t>
      </w:r>
    </w:p>
    <w:p>
      <w:pPr>
        <w:pStyle w:val="Author"/>
      </w:pPr>
      <w:r>
        <w:t xml:space="preserve">NONOGA Djintoba</w:t>
      </w:r>
    </w:p>
    <w:p>
      <w:pPr>
        <w:pStyle w:val="Date"/>
      </w:pPr>
      <w:r>
        <w:t xml:space="preserve">February 11, 2026</w:t>
      </w:r>
    </w:p>
    <w:bookmarkStart w:id="9" w:name="purpose-of-the-work"/>
    <w:p>
      <w:pPr>
        <w:pStyle w:val="Heading1"/>
      </w:pPr>
      <w:r>
        <w:t xml:space="preserve">Purpose of the work</w:t>
      </w:r>
    </w:p>
    <w:p>
      <w:pPr>
        <w:pStyle w:val="FirstParagraph"/>
      </w:pPr>
      <w:r>
        <w:t xml:space="preserve">To become familiar with the LaTeX language and further explore its capabilities.</w:t>
      </w:r>
    </w:p>
    <w:bookmarkEnd w:id="9"/>
    <w:bookmarkStart w:id="10" w:name="task"/>
    <w:p>
      <w:pPr>
        <w:pStyle w:val="Heading1"/>
      </w:pPr>
      <w:r>
        <w:t xml:space="preserve">Task</w:t>
      </w:r>
    </w:p>
    <w:p>
      <w:pPr>
        <w:pStyle w:val="FirstParagraph"/>
      </w:pPr>
      <w:r>
        <w:t xml:space="preserve">Run several different programs, learn a new graphics package and new language commands.</w:t>
      </w:r>
    </w:p>
    <w:bookmarkEnd w:id="10"/>
    <w:bookmarkStart w:id="23" w:name="completing-the-lab"/>
    <w:p>
      <w:pPr>
        <w:pStyle w:val="Heading1"/>
      </w:pPr>
      <w:r>
        <w:t xml:space="preserve">Completing the Lab</w:t>
      </w:r>
    </w:p>
    <w:p>
      <w:pPr>
        <w:pStyle w:val="FirstParagraph"/>
      </w:pPr>
      <w:r>
        <w:t xml:space="preserve">Let’s start working with the new package. Reference databases are commonly referred to as</w:t>
      </w:r>
      <w:r>
        <w:t xml:space="preserve"> </w:t>
      </w:r>
      <w:r>
        <w:t xml:space="preserve">“BibTeX files,”</w:t>
      </w:r>
      <w:r>
        <w:t xml:space="preserve"> </w:t>
      </w:r>
      <w:r>
        <w:t xml:space="preserve">and they have the extension .bib. They contain one or more records, one for each reference, and each record has several fields. Let’s create a file with this extension and populate it.</w:t>
      </w:r>
    </w:p>
    <w:bookmarkStart w:id="14" w:name="fig:001"/>
    <w:p>
      <w:pPr>
        <w:pStyle w:val="CaptionedFigure"/>
      </w:pPr>
      <w:r>
        <w:drawing>
          <wp:inline>
            <wp:extent cx="3733800" cy="2324269"/>
            <wp:effectExtent b="0" l="0" r="0" t="0"/>
            <wp:docPr descr="Program 1" title="" id="12" name="Picture"/>
            <a:graphic>
              <a:graphicData uri="http://schemas.openxmlformats.org/drawingml/2006/picture">
                <pic:pic>
                  <pic:nvPicPr>
                    <pic:cNvPr descr="b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1</w:t>
      </w:r>
    </w:p>
    <w:bookmarkEnd w:id="14"/>
    <w:p>
      <w:pPr>
        <w:pStyle w:val="BodyText"/>
      </w:pPr>
      <w:r>
        <w:t xml:space="preserve">We’ll use the natbib package, which allows you to create various citation types and offers a variety of styles. The basic structure of our input is shown in this example.</w:t>
      </w:r>
    </w:p>
    <w:bookmarkStart w:id="18" w:name="fig:002"/>
    <w:p>
      <w:pPr>
        <w:pStyle w:val="CaptionedFigure"/>
      </w:pPr>
      <w:r>
        <w:drawing>
          <wp:inline>
            <wp:extent cx="3733800" cy="1545657"/>
            <wp:effectExtent b="0" l="0" r="0" t="0"/>
            <wp:docPr descr="Program 2" title="" id="16" name="Picture"/>
            <a:graphic>
              <a:graphicData uri="http://schemas.openxmlformats.org/drawingml/2006/picture">
                <pic:pic>
                  <pic:nvPicPr>
                    <pic:cNvPr descr="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2</w:t>
      </w:r>
    </w:p>
    <w:bookmarkEnd w:id="18"/>
    <w:p>
      <w:pPr>
        <w:pStyle w:val="BodyText"/>
      </w:pPr>
      <w:r>
        <w:t xml:space="preserve">The biblatex package works slightly differently than natbib: we select databases in the preamble but output them in the main body of the document. Several new commands are available for this. We’ll demonstrate this with an example.</w:t>
      </w:r>
    </w:p>
    <w:bookmarkStart w:id="22" w:name="fig:003"/>
    <w:p>
      <w:pPr>
        <w:pStyle w:val="CaptionedFigure"/>
      </w:pPr>
      <w:r>
        <w:drawing>
          <wp:inline>
            <wp:extent cx="3733800" cy="1546362"/>
            <wp:effectExtent b="0" l="0" r="0" t="0"/>
            <wp:docPr descr="Program 3" title="" id="20" name="Picture"/>
            <a:graphic>
              <a:graphicData uri="http://schemas.openxmlformats.org/drawingml/2006/picture">
                <pic:pic>
                  <pic:nvPicPr>
                    <pic:cNvPr descr="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3</w:t>
      </w:r>
    </w:p>
    <w:bookmarkEnd w:id="22"/>
    <w:p>
      <w:pPr>
        <w:pStyle w:val="BodyText"/>
      </w:pPr>
      <w:r>
        <w:t xml:space="preserve">Although both BibTeX and biblatex receive input in the form of BibTeX files and can produce structurally similar output in a document, they use completely different methods to achieve this result. This means there are some differences between the two approaches that can help you choose the most appropriate option.</w:t>
      </w:r>
    </w:p>
    <w:p>
      <w:pPr>
        <w:pStyle w:val="BodyText"/>
      </w:pPr>
      <w:r>
        <w:t xml:space="preserve">The programs work correctly.</w:t>
      </w:r>
    </w:p>
    <w:bookmarkEnd w:id="23"/>
    <w:bookmarkStart w:id="2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I became familiar with the LaTeX language and continued exploring its capabilities.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scientific writing</dc:title>
  <dc:creator>NONOGA Djintoba</dc:creator>
  <dc:language>en</dc:language>
  <cp:keywords/>
  <dcterms:created xsi:type="dcterms:W3CDTF">2026-02-11T14:26:02Z</dcterms:created>
  <dcterms:modified xsi:type="dcterms:W3CDTF">2026-02-11T14:26:02Z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11, 2026</vt:lpwstr>
  </property>
  <property fmtid="{D5CDD505-2E9C-101B-9397-08002B2CF9AE}" pid="3" name="header-includes">
    <vt:lpwstr/>
  </property>
  <property fmtid="{D5CDD505-2E9C-101B-9397-08002B2CF9AE}" pid="4" name="indent">
    <vt:lpwstr>True</vt:lpwstr>
  </property>
  <property fmtid="{D5CDD505-2E9C-101B-9397-08002B2CF9AE}" pid="5" name="institute">
    <vt:lpwstr>RUDN University, Moscow, Russia</vt:lpwstr>
  </property>
  <property fmtid="{D5CDD505-2E9C-101B-9397-08002B2CF9AE}" pid="6" name="subtitle">
    <vt:lpwstr>Laboratory Work No. 5</vt:lpwstr>
  </property>
</Properties>
</file>