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Practical scientific writing</w:t>
      </w:r>
    </w:p>
    <w:p>
      <w:pPr>
        <w:pStyle w:val="Subtitle"/>
      </w:pPr>
      <w:r>
        <w:t xml:space="preserve">Laboratory Work No. 6</w:t>
      </w:r>
    </w:p>
    <w:p>
      <w:pPr>
        <w:pStyle w:val="Author"/>
      </w:pPr>
      <w:r>
        <w:t xml:space="preserve">NONOGA Djintoba</w:t>
      </w:r>
    </w:p>
    <w:p>
      <w:pPr>
        <w:pStyle w:val="Date"/>
      </w:pPr>
      <w:r>
        <w:t xml:space="preserve">February 11, 2026</w:t>
      </w:r>
    </w:p>
    <w:bookmarkStart w:id="9" w:name="purpose-of-the-work"/>
    <w:p>
      <w:pPr>
        <w:pStyle w:val="Heading1"/>
      </w:pPr>
      <w:r>
        <w:t xml:space="preserve">Purpose of the work</w:t>
      </w:r>
    </w:p>
    <w:p>
      <w:pPr>
        <w:pStyle w:val="FirstParagraph"/>
      </w:pPr>
      <w:r>
        <w:t xml:space="preserve">To become familiar with the LaTeX language and further explore its capabilities.</w:t>
      </w:r>
    </w:p>
    <w:bookmarkEnd w:id="9"/>
    <w:bookmarkStart w:id="10" w:name="task"/>
    <w:p>
      <w:pPr>
        <w:pStyle w:val="Heading1"/>
      </w:pPr>
      <w:r>
        <w:t xml:space="preserve">Task</w:t>
      </w:r>
    </w:p>
    <w:p>
      <w:pPr>
        <w:pStyle w:val="Compact"/>
        <w:numPr>
          <w:ilvl w:val="0"/>
          <w:numId w:val="1001"/>
        </w:numPr>
      </w:pPr>
      <w:r>
        <w:t xml:space="preserve">Launch several different programs, learn a new presentation package and new language commands.</w:t>
      </w:r>
    </w:p>
    <w:bookmarkEnd w:id="10"/>
    <w:bookmarkStart w:id="35" w:name="completing-the-lab"/>
    <w:p>
      <w:pPr>
        <w:pStyle w:val="Heading1"/>
      </w:pPr>
      <w:r>
        <w:t xml:space="preserve">Completing the lab</w:t>
      </w:r>
    </w:p>
    <w:p>
      <w:pPr>
        <w:pStyle w:val="FirstParagraph"/>
      </w:pPr>
      <w:r>
        <w:t xml:space="preserve">Let’s get started with a new package. In LaTeX, you can create presentations using the beamer document class. To create slides, you can use the frame environment with the slide title as the only argument.</w:t>
      </w:r>
    </w:p>
    <w:bookmarkStart w:id="14" w:name="fig:001"/>
    <w:p>
      <w:pPr>
        <w:pStyle w:val="CaptionedFigure"/>
      </w:pPr>
      <w:r>
        <w:drawing>
          <wp:inline>
            <wp:extent cx="3733800" cy="1682335"/>
            <wp:effectExtent b="0" l="0" r="0" t="0"/>
            <wp:docPr descr="Program 1" title="" id="12" name="Picture"/>
            <a:graphic>
              <a:graphicData uri="http://schemas.openxmlformats.org/drawingml/2006/picture">
                <pic:pic>
                  <pic:nvPicPr>
                    <pic:cNvPr descr="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1</w:t>
      </w:r>
    </w:p>
    <w:bookmarkEnd w:id="14"/>
    <w:p>
      <w:pPr>
        <w:pStyle w:val="BodyText"/>
      </w:pPr>
      <w:r>
        <w:t xml:space="preserve">To organize information in a presentation, you can use boxes, columns, lists, and bulleted lists.</w:t>
      </w:r>
    </w:p>
    <w:bookmarkStart w:id="18" w:name="fig:002"/>
    <w:p>
      <w:pPr>
        <w:pStyle w:val="CaptionedFigure"/>
      </w:pPr>
      <w:r>
        <w:drawing>
          <wp:inline>
            <wp:extent cx="3733800" cy="1103071"/>
            <wp:effectExtent b="0" l="0" r="0" t="0"/>
            <wp:docPr descr="Program 2" title="" id="16" name="Picture"/>
            <a:graphic>
              <a:graphicData uri="http://schemas.openxmlformats.org/drawingml/2006/picture">
                <pic:pic>
                  <pic:nvPicPr>
                    <pic:cNvPr descr="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2</w:t>
      </w:r>
    </w:p>
    <w:bookmarkEnd w:id="18"/>
    <w:p>
      <w:pPr>
        <w:pStyle w:val="BodyText"/>
      </w:pPr>
      <w:r>
        <w:t xml:space="preserve">To make slide elements appear one after another, use pause. This command can be placed almost anywhere in the code.</w:t>
      </w:r>
    </w:p>
    <w:bookmarkStart w:id="22" w:name="fig:003"/>
    <w:p>
      <w:pPr>
        <w:pStyle w:val="CaptionedFigure"/>
      </w:pPr>
      <w:r>
        <w:drawing>
          <wp:inline>
            <wp:extent cx="3733800" cy="1426004"/>
            <wp:effectExtent b="0" l="0" r="0" t="0"/>
            <wp:docPr descr="Program 3" title="" id="20" name="Picture"/>
            <a:graphic>
              <a:graphicData uri="http://schemas.openxmlformats.org/drawingml/2006/picture">
                <pic:pic>
                  <pic:nvPicPr>
                    <pic:cNvPr descr="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3</w:t>
      </w:r>
    </w:p>
    <w:bookmarkEnd w:id="22"/>
    <w:p>
      <w:pPr>
        <w:pStyle w:val="BodyText"/>
      </w:pPr>
      <w:r>
        <w:t xml:space="preserve">or in a list.</w:t>
      </w:r>
    </w:p>
    <w:bookmarkStart w:id="26" w:name="fig:004"/>
    <w:p>
      <w:pPr>
        <w:pStyle w:val="CaptionedFigure"/>
      </w:pPr>
      <w:r>
        <w:drawing>
          <wp:inline>
            <wp:extent cx="3733800" cy="1501681"/>
            <wp:effectExtent b="0" l="0" r="0" t="0"/>
            <wp:docPr descr="Program 4" title="" id="24" name="Picture"/>
            <a:graphic>
              <a:graphicData uri="http://schemas.openxmlformats.org/drawingml/2006/picture">
                <pic:pic>
                  <pic:nvPicPr>
                    <pic:cNvPr descr="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4</w:t>
      </w:r>
    </w:p>
    <w:bookmarkEnd w:id="26"/>
    <w:p>
      <w:pPr>
        <w:pStyle w:val="BodyText"/>
      </w:pPr>
      <w:r>
        <w:t xml:space="preserve">The uncover command allows you to precisely control when each section of a slide is displayed. This command is more flexible than the pause command. Below is an example of using the uncover command.</w:t>
      </w:r>
    </w:p>
    <w:bookmarkStart w:id="30" w:name="fig:005"/>
    <w:p>
      <w:pPr>
        <w:pStyle w:val="CaptionedFigure"/>
      </w:pPr>
      <w:r>
        <w:drawing>
          <wp:inline>
            <wp:extent cx="3733800" cy="1528214"/>
            <wp:effectExtent b="0" l="0" r="0" t="0"/>
            <wp:docPr descr="Program 5" title="" id="28" name="Picture"/>
            <a:graphic>
              <a:graphicData uri="http://schemas.openxmlformats.org/drawingml/2006/picture">
                <pic:pic>
                  <pic:nvPicPr>
                    <pic:cNvPr descr="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5</w:t>
      </w:r>
    </w:p>
    <w:bookmarkEnd w:id="30"/>
    <w:p>
      <w:pPr>
        <w:pStyle w:val="BodyText"/>
      </w:pPr>
      <w:r>
        <w:t xml:space="preserve">There are many different ways to transfer the general structure of a poster into LaTeX. Here’s one of them.</w:t>
      </w:r>
    </w:p>
    <w:bookmarkStart w:id="34" w:name="fig:006"/>
    <w:p>
      <w:pPr>
        <w:pStyle w:val="CaptionedFigure"/>
      </w:pPr>
      <w:r>
        <w:drawing>
          <wp:inline>
            <wp:extent cx="3733800" cy="1601118"/>
            <wp:effectExtent b="0" l="0" r="0" t="0"/>
            <wp:docPr descr="Program 6" title="" id="32" name="Picture"/>
            <a:graphic>
              <a:graphicData uri="http://schemas.openxmlformats.org/drawingml/2006/picture">
                <pic:pic>
                  <pic:nvPicPr>
                    <pic:cNvPr descr="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6</w:t>
      </w:r>
    </w:p>
    <w:bookmarkEnd w:id="34"/>
    <w:p>
      <w:pPr>
        <w:pStyle w:val="BodyText"/>
      </w:pPr>
      <w:r>
        <w:t xml:space="preserve">The programs work correctly.</w:t>
      </w:r>
    </w:p>
    <w:bookmarkEnd w:id="35"/>
    <w:bookmarkStart w:id="36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I became familiar with the LaTeX language and continued exploring its capabilities.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scientific writing</dc:title>
  <dc:creator>NONOGA Djintoba</dc:creator>
  <dc:language>en</dc:language>
  <cp:keywords/>
  <dcterms:created xsi:type="dcterms:W3CDTF">2026-02-11T17:58:53Z</dcterms:created>
  <dcterms:modified xsi:type="dcterms:W3CDTF">2026-02-11T17:58:53Z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11, 2026</vt:lpwstr>
  </property>
  <property fmtid="{D5CDD505-2E9C-101B-9397-08002B2CF9AE}" pid="3" name="header-includes">
    <vt:lpwstr/>
  </property>
  <property fmtid="{D5CDD505-2E9C-101B-9397-08002B2CF9AE}" pid="4" name="indent">
    <vt:lpwstr>True</vt:lpwstr>
  </property>
  <property fmtid="{D5CDD505-2E9C-101B-9397-08002B2CF9AE}" pid="5" name="institute">
    <vt:lpwstr>RUDN University, Moscow, Russia</vt:lpwstr>
  </property>
  <property fmtid="{D5CDD505-2E9C-101B-9397-08002B2CF9AE}" pid="6" name="subtitle">
    <vt:lpwstr>Laboratory Work No. 6</vt:lpwstr>
  </property>
</Properties>
</file>