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МОСКОВСКАЯ ПРЕДПРОВЕССИОНАЛЬНАЯ ОЛИМПИАДА </w:t>
      </w:r>
      <w:r>
        <w:rPr>
          <w:sz w:val="28"/>
          <w:szCs w:val="28"/>
        </w:rPr>
        <w:t>2020/21</w:t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ИНФОРМАЦИОННО-КОНСТРУКТОРСКОЕ НАПРАВЛЕНИЕ</w:t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ПРОФИЛЬ ИНФОРМАЦИОННЫЕ ТЕХНОЛОГИИ</w:t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Информационная система </w:t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автоматизированного тестирования учащихся.</w:t>
      </w:r>
    </w:p>
    <w:p>
      <w:pPr>
        <w:pStyle w:val="Normal"/>
        <w:bidi w:val="0"/>
        <w:spacing w:lineRule="auto" w:line="36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7"/>
      </w:tblGrid>
      <w:tr>
        <w:trPr/>
        <w:tc>
          <w:tcPr>
            <w:tcW w:w="4985" w:type="dxa"/>
            <w:tcBorders/>
          </w:tcPr>
          <w:p>
            <w:pPr>
              <w:pStyle w:val="TableContents"/>
              <w:bidi w:val="0"/>
              <w:spacing w:lineRule="auto" w:line="36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</w:p>
        </w:tc>
        <w:tc>
          <w:tcPr>
            <w:tcW w:w="4987" w:type="dxa"/>
            <w:tcBorders/>
          </w:tcPr>
          <w:p>
            <w:pPr>
              <w:pStyle w:val="TableContents"/>
              <w:bidi w:val="0"/>
              <w:spacing w:lineRule="auto" w:line="360"/>
              <w:jc w:val="left"/>
              <w:rPr>
                <w:lang w:val="ru-RU"/>
              </w:rPr>
            </w:pPr>
            <w:r>
              <w:rPr>
                <w:lang w:val="ru-RU"/>
              </w:rPr>
              <w:t>11 класс</w:t>
            </w:r>
          </w:p>
          <w:p>
            <w:pPr>
              <w:pStyle w:val="TableContents"/>
              <w:bidi w:val="0"/>
              <w:spacing w:lineRule="auto" w:line="360"/>
              <w:jc w:val="left"/>
              <w:rPr>
                <w:lang w:val="ru-RU"/>
              </w:rPr>
            </w:pPr>
            <w:r>
              <w:rPr>
                <w:lang w:val="ru-RU"/>
              </w:rPr>
              <w:t>ГБОУ ш</w:t>
            </w:r>
            <w:r>
              <w:rPr>
                <w:lang w:val="ru-RU"/>
              </w:rPr>
              <w:t>кол</w:t>
            </w:r>
            <w:r>
              <w:rPr>
                <w:lang w:val="ru-RU"/>
              </w:rPr>
              <w:t>а</w:t>
            </w:r>
            <w:r>
              <w:rPr>
                <w:lang w:val="ru-RU"/>
              </w:rPr>
              <w:t xml:space="preserve"> 641 им. С. Есенина</w:t>
            </w:r>
          </w:p>
          <w:p>
            <w:pPr>
              <w:pStyle w:val="TableContents"/>
              <w:bidi w:val="0"/>
              <w:spacing w:lineRule="auto" w:line="360"/>
              <w:jc w:val="left"/>
              <w:rPr>
                <w:lang w:val="ru-RU"/>
              </w:rPr>
            </w:pPr>
            <w:r>
              <w:rPr>
                <w:lang w:val="ru-RU"/>
              </w:rPr>
              <w:t>Трифонов Дмитри</w:t>
            </w:r>
            <w:r>
              <w:rPr>
                <w:lang w:val="ru-RU"/>
              </w:rPr>
              <w:t>й</w:t>
            </w:r>
            <w:r>
              <w:rPr>
                <w:lang w:val="ru-RU"/>
              </w:rPr>
              <w:t xml:space="preserve"> Алексеевич</w:t>
            </w:r>
          </w:p>
        </w:tc>
      </w:tr>
      <w:tr>
        <w:trPr>
          <w:trHeight w:val="426" w:hRule="atLeast"/>
        </w:trPr>
        <w:tc>
          <w:tcPr>
            <w:tcW w:w="4985" w:type="dxa"/>
            <w:tcBorders/>
          </w:tcPr>
          <w:p>
            <w:pPr>
              <w:pStyle w:val="TableContents"/>
              <w:bidi w:val="0"/>
              <w:spacing w:lineRule="auto" w:line="36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</w:p>
        </w:tc>
        <w:tc>
          <w:tcPr>
            <w:tcW w:w="4987" w:type="dxa"/>
            <w:tcBorders/>
          </w:tcPr>
          <w:p>
            <w:pPr>
              <w:pStyle w:val="TableContents"/>
              <w:bidi w:val="0"/>
              <w:spacing w:lineRule="auto" w:line="36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</w:tbl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</w:r>
    </w:p>
    <w:p>
      <w:pPr>
        <w:pStyle w:val="Normal"/>
        <w:bidi w:val="0"/>
        <w:spacing w:lineRule="auto" w:line="360"/>
        <w:jc w:val="center"/>
        <w:rPr/>
      </w:pPr>
      <w:r>
        <w:rPr/>
        <w:t>Москва — 2021</w:t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ТЕХНИЧЕСКИЕ ТРЕБОВАНИЯ</w:t>
      </w:r>
    </w:p>
    <w:p>
      <w:pPr>
        <w:pStyle w:val="Normal"/>
        <w:bidi w:val="0"/>
        <w:spacing w:lineRule="auto" w:line="360"/>
        <w:jc w:val="left"/>
        <w:rPr/>
      </w:pPr>
      <w:r>
        <w:rPr>
          <w:b/>
          <w:bCs/>
        </w:rPr>
        <w:t xml:space="preserve">OS: </w:t>
      </w:r>
      <w:hyperlink r:id="rId2">
        <w:bookmarkStart w:id="0" w:name="linux-x11"/>
        <w:bookmarkEnd w:id="0"/>
        <w:r>
          <w:rPr>
            <w:rStyle w:val="InternetLink"/>
            <w:b w:val="false"/>
            <w:bCs w:val="false"/>
          </w:rPr>
          <w:t>Linux/X11</w:t>
        </w:r>
      </w:hyperlink>
      <w:r>
        <w:rPr>
          <w:b w:val="false"/>
          <w:bCs w:val="false"/>
        </w:rPr>
        <w:t xml:space="preserve">, </w:t>
      </w:r>
      <w:hyperlink r:id="rId3">
        <w:bookmarkStart w:id="1" w:name="macos"/>
        <w:bookmarkEnd w:id="1"/>
        <w:r>
          <w:rPr>
            <w:rStyle w:val="InternetLink"/>
            <w:b w:val="false"/>
            <w:bCs w:val="false"/>
          </w:rPr>
          <w:t>macOS</w:t>
        </w:r>
      </w:hyperlink>
      <w:r>
        <w:rPr>
          <w:b w:val="false"/>
          <w:bCs w:val="false"/>
        </w:rPr>
        <w:t xml:space="preserve">, </w:t>
      </w:r>
      <w:hyperlink r:id="rId4">
        <w:bookmarkStart w:id="2" w:name="windows"/>
        <w:bookmarkEnd w:id="2"/>
        <w:r>
          <w:rPr>
            <w:rStyle w:val="InternetLink"/>
            <w:b w:val="false"/>
            <w:bCs w:val="false"/>
          </w:rPr>
          <w:t>Windows</w:t>
        </w:r>
      </w:hyperlink>
    </w:p>
    <w:p>
      <w:pPr>
        <w:pStyle w:val="Normal"/>
        <w:bidi w:val="0"/>
        <w:spacing w:lineRule="auto" w:line="360"/>
        <w:jc w:val="left"/>
        <w:rPr/>
      </w:pPr>
      <w:r>
        <w:rPr>
          <w:b/>
          <w:bCs/>
        </w:rPr>
        <w:t>Оперативная память</w:t>
      </w:r>
      <w:r>
        <w:rPr>
          <w:b w:val="false"/>
          <w:bCs w:val="false"/>
        </w:rPr>
        <w:t>: от 128 мб.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</w:t>
      </w:r>
      <w:r>
        <w:rPr>
          <w:b w:val="false"/>
          <w:bCs w:val="false"/>
        </w:rPr>
        <w:t>ри продолжении разработк</w:t>
      </w:r>
      <w:r>
        <w:rPr>
          <w:b w:val="false"/>
          <w:bCs w:val="false"/>
        </w:rPr>
        <w:t>и</w:t>
      </w:r>
      <w:r>
        <w:rPr>
          <w:b w:val="false"/>
          <w:bCs w:val="false"/>
        </w:rPr>
        <w:t xml:space="preserve"> возможно использование на </w:t>
      </w:r>
      <w:hyperlink r:id="rId5">
        <w:r>
          <w:rPr>
            <w:rStyle w:val="InternetLink"/>
            <w:b w:val="false"/>
            <w:bCs w:val="false"/>
          </w:rPr>
          <w:t>IOS</w:t>
        </w:r>
      </w:hyperlink>
      <w:r>
        <w:rPr>
          <w:b w:val="false"/>
          <w:bCs w:val="false"/>
        </w:rPr>
        <w:t xml:space="preserve"> и </w:t>
      </w:r>
      <w:hyperlink r:id="rId6">
        <w:r>
          <w:rPr>
            <w:rStyle w:val="InternetLink"/>
            <w:b w:val="false"/>
            <w:bCs w:val="false"/>
          </w:rPr>
          <w:t>Android</w:t>
        </w:r>
      </w:hyperlink>
      <w:r>
        <w:rPr>
          <w:b w:val="false"/>
          <w:bCs w:val="false"/>
        </w:rPr>
        <w:t>.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Все зависимости проекта исходят от зависимостей Qt  (для серверного приложения добавляются зависимости PostgreSQL).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 xml:space="preserve">ОБОСНОВАНИЕ ВЫБОРЯ ЯЗЫКА ПРОГРАММИРОВАНИЯ И </w:t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ИСПОЛЬЗУЕМЫХ ПРОГРАММНЫХ СРЕДСТВ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Используемые языки программирования: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SQL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C++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Выбор C++ в качестве основного языка программирования обоснован по нескольким причинам: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Глубокие исторические корни языка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Надёжность </w:t>
      </w:r>
      <w:r>
        <w:rPr>
          <w:b w:val="false"/>
          <w:bCs w:val="false"/>
        </w:rPr>
        <w:t>и безопасность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Высокая скорость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Наличие ООП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Используемые программные средства:</w:t>
      </w:r>
    </w:p>
    <w:p>
      <w:pPr>
        <w:pStyle w:val="Normal"/>
        <w:numPr>
          <w:ilvl w:val="0"/>
          <w:numId w:val="4"/>
        </w:numPr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 xml:space="preserve">Среда разработки </w:t>
      </w:r>
      <w:r>
        <w:rPr>
          <w:b/>
          <w:bCs/>
        </w:rPr>
        <w:t xml:space="preserve">Qt 5.15 ( </w:t>
      </w:r>
      <w:r>
        <w:rPr>
          <w:b/>
          <w:bCs/>
        </w:rPr>
        <w:t>+ необходимые компоненты (</w:t>
      </w:r>
      <w:r>
        <w:rPr>
          <w:b/>
          <w:bCs/>
        </w:rPr>
        <w:t>qmake, gcc, gdb, …</w:t>
      </w:r>
      <w:r>
        <w:rPr>
          <w:b/>
          <w:bCs/>
        </w:rPr>
        <w:t xml:space="preserve">) </w:t>
      </w:r>
      <w:r>
        <w:rPr>
          <w:b/>
          <w:bCs/>
        </w:rPr>
        <w:t>)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Причины выбора данного фреймворка: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Надёжность и безопасность (разрабатывается более 20 лет)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/>
      </w:pPr>
      <w:r>
        <w:rPr>
          <w:b w:val="false"/>
          <w:bCs w:val="false"/>
        </w:rPr>
        <w:t>Н</w:t>
      </w:r>
      <w:r>
        <w:rPr>
          <w:b w:val="false"/>
          <w:bCs w:val="false"/>
        </w:rPr>
        <w:t>аличие документации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Большое разнообразие предлагаемых средств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Кроссплатформенность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Возможность бесплатного использования для некоммерческих проектов(GPL) </w:t>
      </w:r>
    </w:p>
    <w:p>
      <w:pPr>
        <w:pStyle w:val="Normal"/>
        <w:numPr>
          <w:ilvl w:val="0"/>
          <w:numId w:val="4"/>
        </w:numPr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Система управлени</w:t>
      </w:r>
      <w:r>
        <w:rPr>
          <w:b/>
          <w:bCs/>
        </w:rPr>
        <w:t>я</w:t>
      </w:r>
      <w:r>
        <w:rPr>
          <w:b/>
          <w:bCs/>
        </w:rPr>
        <w:t xml:space="preserve"> базами данных PostgreSQL</w:t>
      </w:r>
    </w:p>
    <w:p>
      <w:pPr>
        <w:pStyle w:val="Normal"/>
        <w:bidi w:val="0"/>
        <w:spacing w:lineRule="auto" w:line="360"/>
        <w:jc w:val="left"/>
        <w:rPr/>
      </w:pPr>
      <w:r>
        <w:rPr>
          <w:b w:val="false"/>
          <w:bCs w:val="false"/>
        </w:rPr>
        <w:t xml:space="preserve">Причины выбора данной </w:t>
      </w:r>
      <w:r>
        <w:rPr/>
        <w:t>систем</w:t>
      </w:r>
      <w:r>
        <w:rPr/>
        <w:t>ы</w:t>
      </w:r>
      <w:r>
        <w:rPr/>
        <w:t xml:space="preserve"> управления базами данных:</w:t>
      </w:r>
    </w:p>
    <w:p>
      <w:pPr>
        <w:pStyle w:val="Normal"/>
        <w:numPr>
          <w:ilvl w:val="0"/>
          <w:numId w:val="6"/>
        </w:numPr>
        <w:bidi w:val="0"/>
        <w:spacing w:lineRule="auto" w:line="360"/>
        <w:jc w:val="left"/>
        <w:rPr/>
      </w:pPr>
      <w:r>
        <w:rPr/>
        <w:t>Распространяется под лицензией postgreSQL</w:t>
      </w:r>
    </w:p>
    <w:p>
      <w:pPr>
        <w:pStyle w:val="Normal"/>
        <w:numPr>
          <w:ilvl w:val="0"/>
          <w:numId w:val="6"/>
        </w:numPr>
        <w:bidi w:val="0"/>
        <w:spacing w:lineRule="auto" w:line="360"/>
        <w:jc w:val="left"/>
        <w:rPr/>
      </w:pPr>
      <w:r>
        <w:rPr/>
        <w:t xml:space="preserve">Бережное отношение к данным </w:t>
      </w:r>
    </w:p>
    <w:p>
      <w:pPr>
        <w:pStyle w:val="Normal"/>
        <w:numPr>
          <w:ilvl w:val="0"/>
          <w:numId w:val="6"/>
        </w:numPr>
        <w:bidi w:val="0"/>
        <w:spacing w:lineRule="auto" w:line="360"/>
        <w:jc w:val="left"/>
        <w:rPr/>
      </w:pPr>
      <w:r>
        <w:rPr/>
        <w:t>Поддерживается на большом количестве ОС</w:t>
      </w:r>
    </w:p>
    <w:p>
      <w:pPr>
        <w:pStyle w:val="Normal"/>
        <w:numPr>
          <w:ilvl w:val="0"/>
          <w:numId w:val="6"/>
        </w:numPr>
        <w:bidi w:val="0"/>
        <w:spacing w:lineRule="auto" w:line="360"/>
        <w:jc w:val="left"/>
        <w:rPr/>
      </w:pPr>
      <w:r>
        <w:rPr/>
        <w:t>Следствие из первого пункта — наличие в Qt встроенного драйвера QPSQL</w:t>
      </w:r>
    </w:p>
    <w:p>
      <w:pPr>
        <w:pStyle w:val="Normal"/>
        <w:numPr>
          <w:ilvl w:val="0"/>
          <w:numId w:val="4"/>
        </w:numPr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Средства для разработки -</w:t>
      </w:r>
      <w:r>
        <w:rPr>
          <w:b/>
          <w:bCs/>
        </w:rPr>
        <w:t xml:space="preserve"> </w:t>
      </w:r>
      <w:r>
        <w:rPr>
          <w:b/>
          <w:bCs/>
        </w:rPr>
        <w:t>git, pgAdmin4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-320040</wp:posOffset>
                </wp:positionH>
                <wp:positionV relativeFrom="paragraph">
                  <wp:posOffset>6623050</wp:posOffset>
                </wp:positionV>
                <wp:extent cx="6985635" cy="210439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80" cy="210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lineRule="auto" w:line="360"/>
                              <w:rPr/>
                            </w:pPr>
                            <w:r>
                              <w:rPr>
                                <w:sz w:val="24"/>
                                <w:b/>
                                <w:bCs/>
                                <w:rFonts w:ascii="Liberation Serif" w:hAnsi="Liberation Serif"/>
                              </w:rPr>
                              <w:t>Комментарий к структурной схеме клиентской части</w:t>
                            </w:r>
                          </w:p>
                          <w:p>
                            <w:pPr>
                              <w:bidi w:val="0"/>
                              <w:spacing w:lineRule="auto" w:line="360"/>
                              <w:rPr/>
                            </w:pPr>
                            <w:r>
                              <w:rPr>
                                <w:sz w:val="24"/>
                                <w:rFonts w:ascii="Liberation Serif" w:hAnsi="Liberation Serif"/>
                              </w:rPr>
                              <w:t>В соответствии с результатами авторизации, если авторизация прошла успешно, устанавливается одно из окон 1-го порядка: AdminWidget(окно администратора учебного процесса), AdminPlusWidget(</w:t>
                            </w:r>
                            <w:r>
                              <w:rPr>
                                <w:sz w:val="24"/>
                                <w:rFonts w:ascii="Liberation Serif" w:hAnsi="Liberation Serif"/>
                              </w:rPr>
                              <w:t>окно системного администратора)</w:t>
                            </w:r>
                            <w:r>
                              <w:rPr>
                                <w:sz w:val="24"/>
                                <w:rFonts w:ascii="Liberation Serif" w:hAnsi="Liberation Serif"/>
                              </w:rPr>
                              <w:t>, TeacherWidget(окно учителя), StudentWidget(окно ученика). Эти виджеты отвечают за открытие «локальных окон». Все данные, касающтеся получения информации с сервера, а также сигналы для выхода / для открытия нового окна локальные окна отправляют с помощью класса MyClient (поэтому связь окон первого порядка двойной стрелкой с MyClient означает в том числе передачу данных от устанавливаемых окон а также получение ими данных из MyClient).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-25.2pt;margin-top:521.5pt;width:549.95pt;height:165.6pt;mso-wrap-style:square;v-text-anchor:top" type="shapetype_202">
                <v:textbox>
                  <w:txbxContent>
                    <w:p>
                      <w:pPr>
                        <w:bidi w:val="0"/>
                        <w:spacing w:lineRule="auto" w:line="360"/>
                        <w:rPr/>
                      </w:pPr>
                      <w:r>
                        <w:rPr>
                          <w:sz w:val="24"/>
                          <w:b/>
                          <w:bCs/>
                          <w:rFonts w:ascii="Liberation Serif" w:hAnsi="Liberation Serif"/>
                        </w:rPr>
                        <w:t>Комментарий к структурной схеме клиентской части</w:t>
                      </w:r>
                    </w:p>
                    <w:p>
                      <w:pPr>
                        <w:bidi w:val="0"/>
                        <w:spacing w:lineRule="auto" w:line="360"/>
                        <w:rPr/>
                      </w:pPr>
                      <w:r>
                        <w:rPr>
                          <w:sz w:val="24"/>
                          <w:rFonts w:ascii="Liberation Serif" w:hAnsi="Liberation Serif"/>
                        </w:rPr>
                        <w:t>В соответствии с результатами авторизации, если авторизация прошла успешно, устанавливается одно из окон 1-го порядка: AdminWidget(окно администратора учебного процесса), AdminPlusWidget(</w:t>
                      </w:r>
                      <w:r>
                        <w:rPr>
                          <w:sz w:val="24"/>
                          <w:rFonts w:ascii="Liberation Serif" w:hAnsi="Liberation Serif"/>
                        </w:rPr>
                        <w:t>окно системного администратора)</w:t>
                      </w:r>
                      <w:r>
                        <w:rPr>
                          <w:sz w:val="24"/>
                          <w:rFonts w:ascii="Liberation Serif" w:hAnsi="Liberation Serif"/>
                        </w:rPr>
                        <w:t>, TeacherWidget(окно учителя), StudentWidget(окно ученика). Эти виджеты отвечают за открытие «локальных окон». Все данные, касающтеся получения информации с сервера, а также сигналы для выхода / для открытия нового окна локальные окна отправляют с помощью класса MyClient (поэтому связь окон первого порядка двойной стрелкой с MyClient означает в том числе передачу данных от устанавливаемых окон а также получение ими данных из MyClient).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539750</wp:posOffset>
            </wp:positionV>
            <wp:extent cx="6332220" cy="59080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3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СТРУКТУРНАЯ СХЕМА ПРОГРАММНОГО ПРОДУКТА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WORKFLOW ДИАГРАММА</w:t>
      </w:r>
      <w:r>
        <w:rPr>
          <w:b/>
          <w:bCs/>
        </w:rPr>
        <w:t xml:space="preserve"> СЕРВЕРНОЙ ЧАСТИ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289560</wp:posOffset>
            </wp:positionH>
            <wp:positionV relativeFrom="paragraph">
              <wp:posOffset>947420</wp:posOffset>
            </wp:positionV>
            <wp:extent cx="5753100" cy="81280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В</w:t>
      </w:r>
      <w:r>
        <w:rPr>
          <w:b/>
          <w:bCs/>
        </w:rPr>
        <w:t>ажное замечание: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в</w:t>
      </w:r>
      <w:r>
        <w:rPr>
          <w:b w:val="false"/>
          <w:bCs w:val="false"/>
        </w:rPr>
        <w:t xml:space="preserve"> приведённой схеме приведён общий принцип работы, без излишне</w:t>
      </w:r>
      <w:r>
        <w:rPr>
          <w:b w:val="false"/>
          <w:bCs w:val="false"/>
        </w:rPr>
        <w:t>й детализации</w:t>
      </w:r>
      <w:r>
        <w:rPr>
          <w:b w:val="false"/>
          <w:bCs w:val="false"/>
        </w:rPr>
        <w:t xml:space="preserve"> проверок на ошибки (диагностики), но стоит учитывать, что </w:t>
      </w:r>
      <w:r>
        <w:rPr>
          <w:b w:val="false"/>
          <w:bCs w:val="false"/>
        </w:rPr>
        <w:t>диагностика</w:t>
      </w:r>
      <w:r>
        <w:rPr>
          <w:b w:val="false"/>
          <w:bCs w:val="false"/>
        </w:rPr>
        <w:t xml:space="preserve"> есть на всех этапах работы.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WORKFLOW ДИАГРАММА</w:t>
      </w:r>
      <w:r>
        <w:rPr>
          <w:b/>
          <w:bCs/>
        </w:rPr>
        <w:t xml:space="preserve"> КЛИЕНТСКОЙ ЧАСТИ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-63500</wp:posOffset>
            </wp:positionH>
            <wp:positionV relativeFrom="paragraph">
              <wp:posOffset>763905</wp:posOffset>
            </wp:positionV>
            <wp:extent cx="6332220" cy="74606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В</w:t>
      </w:r>
      <w:r>
        <w:rPr>
          <w:b/>
          <w:bCs/>
        </w:rPr>
        <w:t>ажное замечание: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в</w:t>
      </w:r>
      <w:r>
        <w:rPr>
          <w:b w:val="false"/>
          <w:bCs w:val="false"/>
        </w:rPr>
        <w:t xml:space="preserve"> приведённой схеме приведён общий принцип работы, без излишне</w:t>
      </w:r>
      <w:r>
        <w:rPr>
          <w:b w:val="false"/>
          <w:bCs w:val="false"/>
        </w:rPr>
        <w:t>й детализации</w:t>
      </w:r>
      <w:r>
        <w:rPr>
          <w:b w:val="false"/>
          <w:bCs w:val="false"/>
        </w:rPr>
        <w:t xml:space="preserve"> проверок на ошибки (диагностики), но стоит учитывать, что </w:t>
      </w:r>
      <w:r>
        <w:rPr>
          <w:b w:val="false"/>
          <w:bCs w:val="false"/>
        </w:rPr>
        <w:t>диагностика</w:t>
      </w:r>
      <w:r>
        <w:rPr>
          <w:b w:val="false"/>
          <w:bCs w:val="false"/>
        </w:rPr>
        <w:t xml:space="preserve"> есть на всех этапах работы.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774700</wp:posOffset>
            </wp:positionV>
            <wp:extent cx="6296025" cy="62865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ФУНКЦИОНАЛЬНАЯ СХЕМА СЕРВЕРНОЙ ЧАСТИ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ФУНКЦИОНАЛЬНЯ СХЕМА КЛИЕНТСКОЙ ЧАСТИ</w:t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1435100</wp:posOffset>
            </wp:positionV>
            <wp:extent cx="6332220" cy="39116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1181100</wp:posOffset>
            </wp:positionV>
            <wp:extent cx="6332220" cy="61829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ER МОДЕЛЬ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ПРОВЕДЁННЫЕ ИСПЫТАНИЯ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Обработчик строк, используемых в составлении посылок для общения с сервером: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234950</wp:posOffset>
            </wp:positionV>
            <wp:extent cx="7052310" cy="457644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5211445</wp:posOffset>
            </wp:positionV>
            <wp:extent cx="6977380" cy="25952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38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Обработчик типа данных QDate,  конвертирующий тип в строку по заданному параметру форматирования: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802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5359400</wp:posOffset>
            </wp:positionV>
            <wp:extent cx="6332220" cy="175450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АНАЛИЗ VALGRIND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В</w:t>
      </w:r>
      <w:r>
        <w:rPr>
          <w:b/>
          <w:bCs/>
        </w:rPr>
        <w:t>ажное замечание:</w:t>
      </w:r>
      <w:r>
        <w:rPr>
          <w:b w:val="false"/>
          <w:bCs w:val="false"/>
        </w:rPr>
        <w:t xml:space="preserve"> все ошибки, полученные при анализе клиента — это внутренние ошибки Qt, </w:t>
      </w:r>
      <w:r>
        <w:rPr>
          <w:b w:val="false"/>
          <w:bCs w:val="false"/>
        </w:rPr>
        <w:t>появляющиеся из-за использования GUI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(</w:t>
      </w:r>
      <w:r>
        <w:rPr>
          <w:b w:val="false"/>
          <w:bCs w:val="false"/>
        </w:rPr>
        <w:t xml:space="preserve">и </w:t>
      </w:r>
      <w:r>
        <w:rPr>
          <w:b w:val="false"/>
          <w:bCs w:val="false"/>
        </w:rPr>
        <w:t>не связанные с какими-то ошибками в коде).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76200</wp:posOffset>
                </wp:positionV>
                <wp:extent cx="6332220" cy="2932430"/>
                <wp:effectExtent l="0" t="0" r="0" b="0"/>
                <wp:wrapSquare wrapText="largest"/>
                <wp:docPr id="1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29324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680970"/>
                                  <wp:effectExtent l="0" t="0" r="0" b="0"/>
                                  <wp:docPr id="13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68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Client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230.9pt;mso-wrap-distance-left:0pt;mso-wrap-distance-right:0pt;mso-wrap-distance-top:0pt;mso-wrap-distance-bottom:0pt;margin-top:6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680970"/>
                            <wp:effectExtent l="0" t="0" r="0" b="0"/>
                            <wp:docPr id="14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68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Client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3420110"/>
                <wp:effectExtent l="0" t="0" r="0" b="0"/>
                <wp:wrapSquare wrapText="largest"/>
                <wp:docPr id="15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4201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168650"/>
                                  <wp:effectExtent l="0" t="0" r="0" b="0"/>
                                  <wp:docPr id="16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16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Server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269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168650"/>
                            <wp:effectExtent l="0" t="0" r="0" b="0"/>
                            <wp:docPr id="17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16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Server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АНАЛИЗ КОДА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hyperlink r:id="rId19">
        <w:r>
          <w:rPr>
            <w:rStyle w:val="InternetLink"/>
            <w:b/>
            <w:bCs/>
          </w:rPr>
          <w:t>Cpplint</w:t>
        </w:r>
      </w:hyperlink>
      <w:r>
        <w:rPr>
          <w:b/>
          <w:bCs/>
        </w:rPr>
        <w:t xml:space="preserve"> (google c++ styleguide):</w: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2995" cy="5488305"/>
            <wp:effectExtent l="0" t="0" r="0" b="0"/>
            <wp:wrapSquare wrapText="largest"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</w:t>
      </w:r>
      <w:r>
        <w:rPr>
          <w:b/>
          <w:bCs/>
        </w:rPr>
        <w:t>lang-Tidy, Clazy: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5890260</wp:posOffset>
                </wp:positionV>
                <wp:extent cx="5611495" cy="2533650"/>
                <wp:effectExtent l="0" t="0" r="0" b="0"/>
                <wp:wrapSquare wrapText="largest"/>
                <wp:docPr id="19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1495" cy="2533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1495" cy="2282190"/>
                                  <wp:effectExtent l="0" t="0" r="0" b="0"/>
                                  <wp:docPr id="20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1495" cy="2282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Client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85pt;height:199.5pt;mso-wrap-distance-left:0pt;mso-wrap-distance-right:0pt;mso-wrap-distance-top:0pt;mso-wrap-distance-bottom:0pt;margin-top:463.8pt;mso-position-vertical-relative:text;margin-left:28.4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1495" cy="2282190"/>
                            <wp:effectExtent l="0" t="0" r="0" b="0"/>
                            <wp:docPr id="21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1495" cy="2282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Client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152400</wp:posOffset>
                </wp:positionH>
                <wp:positionV relativeFrom="paragraph">
                  <wp:posOffset>-257810</wp:posOffset>
                </wp:positionV>
                <wp:extent cx="5697855" cy="2626995"/>
                <wp:effectExtent l="0" t="0" r="0" b="0"/>
                <wp:wrapSquare wrapText="largest"/>
                <wp:docPr id="2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855" cy="26269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97855" cy="2451735"/>
                                  <wp:effectExtent l="0" t="0" r="0" b="0"/>
                                  <wp:docPr id="23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 l="0" t="5384" r="4007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7855" cy="2451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Server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8.65pt;height:206.85pt;mso-wrap-distance-left:0pt;mso-wrap-distance-right:0pt;mso-wrap-distance-top:0pt;mso-wrap-distance-bottom:0pt;margin-top:-20.3pt;mso-position-vertical-relative:text;margin-left:12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97855" cy="2451735"/>
                            <wp:effectExtent l="0" t="0" r="0" b="0"/>
                            <wp:docPr id="24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 l="0" t="5384" r="4007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7855" cy="2451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Server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-38100</wp:posOffset>
                </wp:positionH>
                <wp:positionV relativeFrom="paragraph">
                  <wp:posOffset>2785745</wp:posOffset>
                </wp:positionV>
                <wp:extent cx="6332220" cy="3048635"/>
                <wp:effectExtent l="0" t="0" r="0" b="0"/>
                <wp:wrapSquare wrapText="largest"/>
                <wp:docPr id="2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0486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797175"/>
                                  <wp:effectExtent l="0" t="0" r="0" b="0"/>
                                  <wp:docPr id="26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79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Date Converter Test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240.05pt;mso-wrap-distance-left:0pt;mso-wrap-distance-right:0pt;mso-wrap-distance-top:0pt;mso-wrap-distance-bottom:0pt;margin-top:219.35pt;mso-position-vertical-relative:text;margin-left:-3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797175"/>
                            <wp:effectExtent l="0" t="0" r="0" b="0"/>
                            <wp:docPr id="27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79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Date Converter Test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-76200</wp:posOffset>
                </wp:positionH>
                <wp:positionV relativeFrom="paragraph">
                  <wp:posOffset>6224270</wp:posOffset>
                </wp:positionV>
                <wp:extent cx="6332220" cy="3048635"/>
                <wp:effectExtent l="0" t="0" r="0" b="0"/>
                <wp:wrapSquare wrapText="largest"/>
                <wp:docPr id="28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0486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797175"/>
                                  <wp:effectExtent l="0" t="0" r="0" b="0"/>
                                  <wp:docPr id="29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79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String Operator Test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240.05pt;mso-wrap-distance-left:0pt;mso-wrap-distance-right:0pt;mso-wrap-distance-top:0pt;mso-wrap-distance-bottom:0pt;margin-top:490.1pt;mso-position-vertical-relative:text;margin-left:-6pt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797175"/>
                            <wp:effectExtent l="0" t="0" r="0" b="0"/>
                            <wp:docPr id="30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79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String Operator Test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b/>
          <w:b/>
          <w:bCs/>
        </w:rPr>
      </w:pPr>
      <w:r>
        <w:rPr>
          <w:b/>
          <w:bCs/>
        </w:rPr>
        <w:t>ИСХОДНЫЙ КОД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</w:rPr>
      </w:pPr>
      <w:hyperlink r:id="rId25">
        <w:r>
          <w:rPr>
            <w:rStyle w:val="InternetLink"/>
            <w:b w:val="false"/>
            <w:bCs w:val="false"/>
          </w:rPr>
          <w:t>https://github.com/Djivs/testing-system</w:t>
        </w:r>
      </w:hyperlink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Droid Sans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.qt.io/qt-5/linux.html" TargetMode="External"/><Relationship Id="rId3" Type="http://schemas.openxmlformats.org/officeDocument/2006/relationships/hyperlink" Target="https://doc.qt.io/qt-5/macos.html" TargetMode="External"/><Relationship Id="rId4" Type="http://schemas.openxmlformats.org/officeDocument/2006/relationships/hyperlink" Target="https://doc.qt.io/qt-5/windows.html" TargetMode="External"/><Relationship Id="rId5" Type="http://schemas.openxmlformats.org/officeDocument/2006/relationships/hyperlink" Target="https://doc.qt.io/qt-5/ios.html" TargetMode="External"/><Relationship Id="rId6" Type="http://schemas.openxmlformats.org/officeDocument/2006/relationships/hyperlink" Target="https://doc.qt.io/qt-5/android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s://github.com/google/styleguide/blob/gh-pages/cpplint/cpplint.py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s://github.com/Djivs/testing-system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380</TotalTime>
  <Application>LibreOffice/7.0.4.2$Linux_X86_64 LibreOffice_project/00$Build-2</Application>
  <AppVersion>15.0000</AppVersion>
  <Pages>15</Pages>
  <Words>339</Words>
  <Characters>2359</Characters>
  <CharactersWithSpaces>2628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2021-02-08T20:15:41Z</dcterms:created>
  <dc:creator/>
  <dc:description/>
  <dc:language>ru-RU</dc:language>
  <cp:lastModifiedBy/>
  <dcterms:modified xsi:type="dcterms:W3CDTF">2021-02-20T19:00:40Z</dcterms:modified>
  <cp:revision>11</cp:revision>
  <dc:subject/>
  <dc:title/>
</cp:coreProperties>
</file>