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>
      <w:pPr>
        <w:pStyle w:val="Normal"/>
        <w:spacing w:before="240" w:after="20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>
      <w:pPr>
        <w:pStyle w:val="Normal"/>
        <w:spacing w:lineRule="atLeast" w:line="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1-го курса очной формы обучения</w:t>
      </w:r>
    </w:p>
    <w:p>
      <w:pPr>
        <w:pStyle w:val="Normal"/>
        <w:spacing w:lineRule="atLeast" w:line="0" w:before="0" w:after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tbl>
      <w:tblPr>
        <w:tblStyle w:val="a6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7"/>
        <w:gridCol w:w="865"/>
        <w:gridCol w:w="863"/>
        <w:gridCol w:w="1034"/>
        <w:gridCol w:w="279"/>
        <w:gridCol w:w="487"/>
        <w:gridCol w:w="5175"/>
      </w:tblGrid>
      <w:tr>
        <w:trPr>
          <w:trHeight w:val="463" w:hRule="atLeast"/>
        </w:trPr>
        <w:tc>
          <w:tcPr>
            <w:tcW w:w="9570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Шараеву Евгению Валериевичу</w:t>
            </w:r>
          </w:p>
        </w:tc>
      </w:tr>
      <w:tr>
        <w:trPr>
          <w:trHeight w:val="360" w:hRule="atLeast"/>
        </w:trPr>
        <w:tc>
          <w:tcPr>
            <w:tcW w:w="9570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(фамилия, имя, отчество при наличии)</w:t>
            </w:r>
          </w:p>
        </w:tc>
      </w:tr>
      <w:tr>
        <w:trPr>
          <w:trHeight w:val="360" w:hRule="atLeast"/>
        </w:trPr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образовательной программы</w:t>
            </w:r>
          </w:p>
        </w:tc>
        <w:tc>
          <w:tcPr>
            <w:tcW w:w="594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Кибербезопасность</w:t>
            </w:r>
          </w:p>
        </w:tc>
      </w:tr>
      <w:tr>
        <w:trPr/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41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(наименование образовательной программы)</w:t>
            </w:r>
          </w:p>
        </w:tc>
      </w:tr>
      <w:tr>
        <w:trPr>
          <w:trHeight w:val="366" w:hRule="atLeast"/>
        </w:trPr>
        <w:tc>
          <w:tcPr>
            <w:tcW w:w="1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уровня</w:t>
            </w:r>
          </w:p>
        </w:tc>
        <w:tc>
          <w:tcPr>
            <w:tcW w:w="7838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магистратуры</w:t>
            </w:r>
          </w:p>
        </w:tc>
      </w:tr>
      <w:tr>
        <w:trPr/>
        <w:tc>
          <w:tcPr>
            <w:tcW w:w="39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по направлению/ специальности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10.04.01 Информационная безопасность</w:t>
            </w:r>
          </w:p>
        </w:tc>
      </w:tr>
      <w:tr>
        <w:trPr/>
        <w:tc>
          <w:tcPr>
            <w:tcW w:w="39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(код и название направления/ специальности)</w:t>
            </w:r>
          </w:p>
        </w:tc>
      </w:tr>
      <w:tr>
        <w:trPr>
          <w:trHeight w:val="441" w:hRule="atLeast"/>
        </w:trPr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факультета</w:t>
            </w: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Московский институт электроники и математики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им. А.Н. Тихонова</w:t>
            </w:r>
          </w:p>
        </w:tc>
      </w:tr>
      <w:tr>
        <w:trPr/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Вид практики</w:t>
            </w:r>
          </w:p>
        </w:tc>
        <w:tc>
          <w:tcPr>
            <w:tcW w:w="6975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Профессиональная</w:t>
            </w:r>
          </w:p>
        </w:tc>
      </w:tr>
      <w:tr>
        <w:trPr>
          <w:trHeight w:val="447" w:hRule="atLeast"/>
        </w:trPr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Тип практики</w:t>
            </w:r>
          </w:p>
        </w:tc>
        <w:tc>
          <w:tcPr>
            <w:tcW w:w="6975" w:type="dxa"/>
            <w:gridSpan w:val="4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Производственная</w:t>
            </w:r>
          </w:p>
        </w:tc>
      </w:tr>
      <w:tr>
        <w:trPr/>
        <w:tc>
          <w:tcPr>
            <w:tcW w:w="39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Срок прохождения практики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с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03.04.202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4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 xml:space="preserve"> г.</w:t>
            </w:r>
          </w:p>
        </w:tc>
      </w:tr>
      <w:tr>
        <w:trPr/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по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17.06.202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4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 xml:space="preserve"> г.</w:t>
            </w:r>
          </w:p>
        </w:tc>
      </w:tr>
    </w:tbl>
    <w:tbl>
      <w:tblPr>
        <w:tblStyle w:val="a6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8930"/>
      </w:tblGrid>
      <w:tr>
        <w:trPr>
          <w:trHeight w:val="251" w:hRule="atLeast"/>
        </w:trPr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Цель прохождения практики:</w:t>
            </w:r>
          </w:p>
        </w:tc>
      </w:tr>
      <w:tr>
        <w:trPr>
          <w:trHeight w:val="251" w:hRule="atLeast"/>
        </w:trPr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получение профессиональных умений и опыта профессиональной деятельности, в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первую очередь научно-исследовательской работы.</w:t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Задачи практики:</w:t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закрепление и углубление теоретических знаний по прослушанным за время обучения в университете дисциплинам;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адаптация студента к реальным условиям работы в различных учреждениях и организациях, приобретение опыта работы в трудовых коллективах, планирование работы в организации, коммуникация и общение в сфере будущей профессиональной деятельности;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создание условий для практического применения знаний в области кибербезопасности;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формирование и совершенствование базовых профессиональных навыков и умений в области применения современных информационных технологий к задачам кибербезопасности;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выполнений обязанностей на первичных должностях в области обеспечения кибербезопасности;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диагностика профессиональной пригодности студента к профессиональной деятельности;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формирование информационной компетентности с целью успешной работы в профессиональной деятельности;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- обеспечение успеха дальнейшей профессиональной карьеры.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Содержание практики (вопросы, подлежащие изучению):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1.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6"/>
                <w:szCs w:val="26"/>
                <w:lang w:val="ru-RU" w:bidi="ar-SA"/>
              </w:rPr>
              <w:t>Изучение базового инструментария СУБД PostgreSQL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* 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методы установки и управления сервером СУБД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* конфигурирования СУБД </w:t>
            </w:r>
          </w:p>
        </w:tc>
      </w:tr>
      <w:tr>
        <w:trPr/>
        <w:tc>
          <w:tcPr>
            <w:tcW w:w="6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2.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Изучение архитектуры 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26"/>
                <w:szCs w:val="26"/>
                <w:lang w:val="ru-RU" w:bidi="ar-SA"/>
              </w:rPr>
              <w:t>PostgreSQL: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* изоляция и многоверсионность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 xml:space="preserve">* буферный кеш и журнал 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3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6"/>
                <w:szCs w:val="26"/>
                <w:lang w:val="ru-RU" w:bidi="ar-SA"/>
              </w:rPr>
              <w:t>Изучение методов обеспечения безопасности данных СУБД: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* создание ролей и настройка привилегии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* настройка подключения и аутентификации в СУБД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4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Изучение методов обеспечения надежности хранения данных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26"/>
                <w:szCs w:val="26"/>
                <w:lang w:val="ru-RU" w:bidi="ar-SA"/>
              </w:rPr>
              <w:t>СУБД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* резервное копирование и репликация</w:t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Планируемые результаты: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1.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Получены навыки установки и настройки СУБД PostgreSQL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2.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Получены навыки создания и настройки ролей и выдачи/отзыва привилегий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3.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Получены навыки настройки резервного копирования СУБД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4.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Получены навыки настройки репликации СУБД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Style w:val="a6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8"/>
        <w:gridCol w:w="638"/>
        <w:gridCol w:w="638"/>
        <w:gridCol w:w="639"/>
        <w:gridCol w:w="637"/>
        <w:gridCol w:w="1"/>
        <w:gridCol w:w="1028"/>
        <w:gridCol w:w="247"/>
        <w:gridCol w:w="1"/>
        <w:gridCol w:w="638"/>
        <w:gridCol w:w="1"/>
        <w:gridCol w:w="639"/>
        <w:gridCol w:w="1027"/>
        <w:gridCol w:w="247"/>
        <w:gridCol w:w="1"/>
        <w:gridCol w:w="639"/>
        <w:gridCol w:w="636"/>
        <w:gridCol w:w="2"/>
        <w:gridCol w:w="638"/>
        <w:gridCol w:w="639"/>
      </w:tblGrid>
      <w:tr>
        <w:trPr/>
        <w:tc>
          <w:tcPr>
            <w:tcW w:w="957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Руководитель практики от НИУ ВШЭ:</w:t>
            </w:r>
          </w:p>
        </w:tc>
      </w:tr>
      <w:tr>
        <w:trPr/>
        <w:tc>
          <w:tcPr>
            <w:tcW w:w="4219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  <w:t>Зав. каф. информационной безопасности киберфизических систем департамента электронной инженерии МИЭМ НИУ ВШЭ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306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555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  <w:t>Евсютин О.О.</w:t>
            </w:r>
          </w:p>
        </w:tc>
      </w:tr>
      <w:tr>
        <w:trPr/>
        <w:tc>
          <w:tcPr>
            <w:tcW w:w="4219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5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(фамилия, инициалы)</w:t>
            </w:r>
          </w:p>
        </w:tc>
      </w:tr>
      <w:tr>
        <w:trPr>
          <w:trHeight w:val="309" w:hRule="atLeast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957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СОГЛАСОВАНО</w:t>
            </w:r>
          </w:p>
        </w:tc>
      </w:tr>
      <w:tr>
        <w:trPr/>
        <w:tc>
          <w:tcPr>
            <w:tcW w:w="957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Руководитель практики от профильной организации</w:t>
            </w:r>
          </w:p>
        </w:tc>
      </w:tr>
      <w:tr>
        <w:trPr/>
        <w:tc>
          <w:tcPr>
            <w:tcW w:w="4219" w:type="dxa"/>
            <w:gridSpan w:val="7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06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55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19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3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5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(фамилия, инициалы)</w:t>
            </w:r>
          </w:p>
        </w:tc>
      </w:tr>
      <w:tr>
        <w:trPr/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10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Задание принято к исполнению</w:t>
            </w:r>
          </w:p>
        </w:tc>
        <w:tc>
          <w:tcPr>
            <w:tcW w:w="44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03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.0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4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.202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4</w:t>
            </w: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 xml:space="preserve"> г.</w:t>
            </w:r>
          </w:p>
        </w:tc>
      </w:tr>
      <w:tr>
        <w:trPr/>
        <w:tc>
          <w:tcPr>
            <w:tcW w:w="31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kern w:val="0"/>
                <w:sz w:val="26"/>
                <w:szCs w:val="26"/>
                <w:lang w:val="ru-RU" w:bidi="ar-SA"/>
              </w:rPr>
              <w:t>Студент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943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469" w:type="dxa"/>
            <w:gridSpan w:val="11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Шараев Е.В.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  <w:tc>
          <w:tcPr>
            <w:tcW w:w="24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469" w:type="dxa"/>
            <w:gridSpan w:val="11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kern w:val="0"/>
                <w:sz w:val="24"/>
                <w:szCs w:val="24"/>
                <w:lang w:val="ru-RU" w:bidi="ar-SA"/>
              </w:rPr>
              <w:t>(фамилия, инициалы)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right="-1" w:hanging="0"/>
      <w:jc w:val="center"/>
      <w:rPr>
        <w:rFonts w:ascii="Times New Roman" w:hAnsi="Times New Roman"/>
        <w:b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4c5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Footnote"/>
    <w:uiPriority w:val="99"/>
    <w:semiHidden/>
    <w:qFormat/>
    <w:rsid w:val="005115a2"/>
    <w:rPr>
      <w:rFonts w:ascii="Calibri" w:hAnsi="Calibri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uiPriority w:val="99"/>
    <w:semiHidden/>
    <w:unhideWhenUsed/>
    <w:qFormat/>
    <w:rsid w:val="005115a2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b4f37"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0c1857"/>
    <w:rPr>
      <w:rFonts w:ascii="Calibri" w:hAnsi="Calibri" w:eastAsia="Times New Roman" w:cs="Times New Roman"/>
      <w:lang w:eastAsia="ru-RU"/>
    </w:rPr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0c1857"/>
    <w:rPr>
      <w:rFonts w:ascii="Calibri" w:hAnsi="Calibri" w:eastAsia="Times New Roman" w:cs="Times New Roman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Style14"/>
    <w:uiPriority w:val="99"/>
    <w:semiHidden/>
    <w:unhideWhenUsed/>
    <w:rsid w:val="005115a2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b4f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0c185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7"/>
    <w:uiPriority w:val="99"/>
    <w:unhideWhenUsed/>
    <w:rsid w:val="000c185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EB3E3CD2-26FA-4CD8-944B-42F00B123C73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Application>LibreOffice/7.4.7.2$Linux_X86_64 LibreOffice_project/40$Build-2</Application>
  <AppVersion>15.0000</AppVersion>
  <Pages>2</Pages>
  <Words>345</Words>
  <Characters>2647</Characters>
  <CharactersWithSpaces>2916</CharactersWithSpaces>
  <Paragraphs>81</Paragraphs>
  <Company>НИУ ВШЭ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2019-03-29T12:30:00Z</dcterms:created>
  <dc:creator>Скворцова Анна Анатольевна</dc:creator>
  <dc:description/>
  <dc:language>en-SG</dc:language>
  <cp:lastModifiedBy/>
  <dcterms:modified xsi:type="dcterms:W3CDTF">2024-06-06T10:53:38Z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Level">
    <vt:lpwstr>Ограниченный</vt:lpwstr>
  </property>
  <property fmtid="{D5CDD505-2E9C-101B-9397-08002B2CF9AE}" pid="3" name="actuality">
    <vt:lpwstr>Проект</vt:lpwstr>
  </property>
  <property fmtid="{D5CDD505-2E9C-101B-9397-08002B2CF9AE}" pid="4" name="controlLabel">
    <vt:lpwstr>не осуществляется</vt:lpwstr>
  </property>
  <property fmtid="{D5CDD505-2E9C-101B-9397-08002B2CF9AE}" pid="5" name="creator">
    <vt:lpwstr>Малышева Г.А.</vt:lpwstr>
  </property>
  <property fmtid="{D5CDD505-2E9C-101B-9397-08002B2CF9AE}" pid="6" name="creatorDepartment">
    <vt:lpwstr>Управление организации уч</vt:lpwstr>
  </property>
  <property fmtid="{D5CDD505-2E9C-101B-9397-08002B2CF9AE}" pid="7" name="creatorPost">
    <vt:lpwstr>Начальник управления</vt:lpwstr>
  </property>
  <property fmtid="{D5CDD505-2E9C-101B-9397-08002B2CF9AE}" pid="8" name="docStatus">
    <vt:lpwstr>NOT_CONTROLLED</vt:lpwstr>
  </property>
  <property fmtid="{D5CDD505-2E9C-101B-9397-08002B2CF9AE}" pid="9" name="docTitle">
    <vt:lpwstr>Приказ</vt:lpwstr>
  </property>
  <property fmtid="{D5CDD505-2E9C-101B-9397-08002B2CF9AE}" pid="10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1" name="documentSubtype">
    <vt:lpwstr>По основной деятельности</vt:lpwstr>
  </property>
  <property fmtid="{D5CDD505-2E9C-101B-9397-08002B2CF9AE}" pid="12" name="documentType">
    <vt:lpwstr>По основной деятельности</vt:lpwstr>
  </property>
  <property fmtid="{D5CDD505-2E9C-101B-9397-08002B2CF9AE}" pid="13" name="mainDocSheetsCount">
    <vt:lpwstr>1</vt:lpwstr>
  </property>
  <property fmtid="{D5CDD505-2E9C-101B-9397-08002B2CF9AE}" pid="14" name="regnumProj">
    <vt:lpwstr>М 2019/3/19-418</vt:lpwstr>
  </property>
  <property fmtid="{D5CDD505-2E9C-101B-9397-08002B2CF9AE}" pid="15" name="signerDelegates">
    <vt:lpwstr>Рощин С.Ю.</vt:lpwstr>
  </property>
  <property fmtid="{D5CDD505-2E9C-101B-9397-08002B2CF9AE}" pid="16" name="signerExtraDelegates">
    <vt:lpwstr> Проректор</vt:lpwstr>
  </property>
  <property fmtid="{D5CDD505-2E9C-101B-9397-08002B2CF9AE}" pid="17" name="signerIof">
    <vt:lpwstr>С. Ю. Рощин</vt:lpwstr>
  </property>
  <property fmtid="{D5CDD505-2E9C-101B-9397-08002B2CF9AE}" pid="18" name="signerLabel">
    <vt:lpwstr> Проректор Рощин С.Ю.</vt:lpwstr>
  </property>
  <property fmtid="{D5CDD505-2E9C-101B-9397-08002B2CF9AE}" pid="19" name="signerName">
    <vt:lpwstr>Рощин С.Ю.</vt:lpwstr>
  </property>
  <property fmtid="{D5CDD505-2E9C-101B-9397-08002B2CF9AE}" pid="20" name="signerNameAndPostName">
    <vt:lpwstr>Рощин С.Ю., Проректор</vt:lpwstr>
  </property>
  <property fmtid="{D5CDD505-2E9C-101B-9397-08002B2CF9AE}" pid="21" name="signerPost">
    <vt:lpwstr>Проректор</vt:lpwstr>
  </property>
  <property fmtid="{D5CDD505-2E9C-101B-9397-08002B2CF9AE}" pid="22" name="stateValue">
    <vt:lpwstr>На доработке</vt:lpwstr>
  </property>
</Properties>
</file>