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17E9" w14:textId="77777777" w:rsidR="00DA6A08" w:rsidRDefault="00DA6A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6A08" w14:paraId="5F6A4FB5" w14:textId="77777777" w:rsidTr="00DA6A08">
        <w:tc>
          <w:tcPr>
            <w:tcW w:w="4675" w:type="dxa"/>
          </w:tcPr>
          <w:p w14:paraId="3EAF64B6" w14:textId="77777777" w:rsidR="00DA6A08" w:rsidRDefault="00DA6A08" w:rsidP="00DA6A08">
            <w:proofErr w:type="spellStart"/>
            <w:r>
              <w:t>Agencija</w:t>
            </w:r>
            <w:proofErr w:type="spellEnd"/>
            <w:r>
              <w:t xml:space="preserve"> za </w:t>
            </w:r>
            <w:proofErr w:type="spellStart"/>
            <w:r>
              <w:t>objavljivanje</w:t>
            </w:r>
            <w:proofErr w:type="spellEnd"/>
            <w:r>
              <w:t xml:space="preserve"> </w:t>
            </w:r>
            <w:proofErr w:type="spellStart"/>
            <w:r>
              <w:t>zakona</w:t>
            </w:r>
            <w:proofErr w:type="spellEnd"/>
          </w:p>
          <w:p w14:paraId="69B76618" w14:textId="77777777" w:rsidR="00DA6A08" w:rsidRDefault="00DA6A08" w:rsidP="00DA6A08">
            <w:pPr>
              <w:spacing w:after="160" w:line="259" w:lineRule="auto"/>
            </w:pPr>
            <w:proofErr w:type="spellStart"/>
            <w:r>
              <w:t>Veselina</w:t>
            </w:r>
            <w:proofErr w:type="spellEnd"/>
            <w:r>
              <w:t xml:space="preserve"> </w:t>
            </w:r>
            <w:proofErr w:type="spellStart"/>
            <w:r>
              <w:t>Masleše</w:t>
            </w:r>
            <w:proofErr w:type="spellEnd"/>
            <w:r>
              <w:t xml:space="preserve">, </w:t>
            </w:r>
            <w:proofErr w:type="gramStart"/>
            <w:r>
              <w:t>74,  Novi</w:t>
            </w:r>
            <w:proofErr w:type="gramEnd"/>
            <w:r>
              <w:t xml:space="preserve"> Sad</w:t>
            </w:r>
          </w:p>
          <w:p w14:paraId="3BD4879A" w14:textId="77777777" w:rsidR="00DA6A08" w:rsidRDefault="00DA6A08" w:rsidP="00DA6A08">
            <w:pPr>
              <w:tabs>
                <w:tab w:val="right" w:pos="3278"/>
              </w:tabs>
              <w:spacing w:after="160" w:line="259" w:lineRule="auto"/>
            </w:pPr>
            <w:hyperlink r:id="rId4" w:history="1">
              <w:r w:rsidRPr="00127CAA">
                <w:rPr>
                  <w:rStyle w:val="Hyperlink"/>
                </w:rPr>
                <w:t>lawify@gmail.com</w:t>
              </w:r>
            </w:hyperlink>
            <w:r>
              <w:tab/>
            </w:r>
          </w:p>
          <w:p w14:paraId="1C85FA4C" w14:textId="6362F376" w:rsidR="00DA6A08" w:rsidRDefault="00DA6A08" w:rsidP="00DA6A08">
            <w:r>
              <w:t>0607593111</w:t>
            </w:r>
          </w:p>
        </w:tc>
        <w:tc>
          <w:tcPr>
            <w:tcW w:w="4675" w:type="dxa"/>
          </w:tcPr>
          <w:p w14:paraId="3E175020" w14:textId="77777777" w:rsidR="00DA6A08" w:rsidRDefault="00DA6A08" w:rsidP="00DA6A08">
            <w:proofErr w:type="spellStart"/>
            <w:r>
              <w:t>Uprava</w:t>
            </w:r>
            <w:proofErr w:type="spellEnd"/>
            <w:r>
              <w:t xml:space="preserve"> za </w:t>
            </w:r>
            <w:proofErr w:type="spellStart"/>
            <w:r>
              <w:t>kriminalistiku</w:t>
            </w:r>
            <w:proofErr w:type="spellEnd"/>
          </w:p>
          <w:p w14:paraId="1F69C0DB" w14:textId="77777777" w:rsidR="00DA6A08" w:rsidRDefault="00DA6A08" w:rsidP="00DA6A08">
            <w:pPr>
              <w:spacing w:after="160" w:line="259" w:lineRule="auto"/>
            </w:pPr>
            <w:proofErr w:type="spellStart"/>
            <w:r>
              <w:t>Nivo</w:t>
            </w:r>
            <w:proofErr w:type="spellEnd"/>
            <w:r>
              <w:t xml:space="preserve"> </w:t>
            </w:r>
            <w:proofErr w:type="spellStart"/>
            <w:r>
              <w:t>uprave</w:t>
            </w:r>
            <w:proofErr w:type="spellEnd"/>
            <w:r>
              <w:t xml:space="preserve">: </w:t>
            </w:r>
            <w:proofErr w:type="spellStart"/>
            <w:r>
              <w:t>Pokrainska</w:t>
            </w:r>
            <w:proofErr w:type="spellEnd"/>
          </w:p>
          <w:p w14:paraId="3718543F" w14:textId="77777777" w:rsidR="00DA6A08" w:rsidRDefault="00DA6A08" w:rsidP="00DA6A08">
            <w:pPr>
              <w:spacing w:after="160" w:line="259" w:lineRule="auto"/>
            </w:pPr>
            <w:r>
              <w:t xml:space="preserve">Brace </w:t>
            </w:r>
            <w:proofErr w:type="spellStart"/>
            <w:r>
              <w:t>Krklju</w:t>
            </w:r>
            <w:proofErr w:type="spellEnd"/>
            <w:r>
              <w:rPr>
                <w:lang w:val="sr-Latn-RS"/>
              </w:rPr>
              <w:t>š</w:t>
            </w:r>
            <w:r>
              <w:t>a, 23, Novi Sad</w:t>
            </w:r>
          </w:p>
          <w:p w14:paraId="3B64C1B0" w14:textId="77777777" w:rsidR="00DA6A08" w:rsidRDefault="00DA6A08" w:rsidP="00DA6A08">
            <w:pPr>
              <w:spacing w:after="160" w:line="259" w:lineRule="auto"/>
            </w:pPr>
            <w:hyperlink r:id="rId5" w:history="1">
              <w:r w:rsidRPr="00127CAA">
                <w:rPr>
                  <w:rStyle w:val="Hyperlink"/>
                </w:rPr>
                <w:t>upravans@gmail.com</w:t>
              </w:r>
            </w:hyperlink>
          </w:p>
          <w:p w14:paraId="5AE0069B" w14:textId="23675DBF" w:rsidR="00DA6A08" w:rsidRDefault="00DA6A08" w:rsidP="00DA6A08">
            <w:r>
              <w:t>0690716123</w:t>
            </w:r>
          </w:p>
        </w:tc>
      </w:tr>
    </w:tbl>
    <w:p w14:paraId="37F36414" w14:textId="65D6A2F2" w:rsidR="009C3032" w:rsidRDefault="009C3032"/>
    <w:p w14:paraId="079B0848" w14:textId="19D2E444" w:rsidR="009C3032" w:rsidRDefault="009C3032">
      <w:pPr>
        <w:rPr>
          <w:sz w:val="48"/>
          <w:szCs w:val="48"/>
        </w:rPr>
      </w:pPr>
      <w:r>
        <w:tab/>
      </w:r>
      <w:r w:rsidRPr="009C3032">
        <w:rPr>
          <w:sz w:val="48"/>
          <w:szCs w:val="48"/>
        </w:rPr>
        <w:tab/>
      </w:r>
      <w:proofErr w:type="spellStart"/>
      <w:r w:rsidRPr="009C3032">
        <w:rPr>
          <w:sz w:val="48"/>
          <w:szCs w:val="48"/>
        </w:rPr>
        <w:t>Ugovor</w:t>
      </w:r>
      <w:proofErr w:type="spellEnd"/>
      <w:r w:rsidRPr="009C3032">
        <w:rPr>
          <w:sz w:val="48"/>
          <w:szCs w:val="48"/>
        </w:rPr>
        <w:t xml:space="preserve"> o </w:t>
      </w:r>
      <w:proofErr w:type="spellStart"/>
      <w:r w:rsidRPr="009C3032">
        <w:rPr>
          <w:sz w:val="48"/>
          <w:szCs w:val="48"/>
        </w:rPr>
        <w:t>krvnim</w:t>
      </w:r>
      <w:proofErr w:type="spellEnd"/>
      <w:r w:rsidRPr="009C3032">
        <w:rPr>
          <w:sz w:val="48"/>
          <w:szCs w:val="48"/>
        </w:rPr>
        <w:t xml:space="preserve"> </w:t>
      </w:r>
      <w:proofErr w:type="spellStart"/>
      <w:r w:rsidRPr="009C3032">
        <w:rPr>
          <w:sz w:val="48"/>
          <w:szCs w:val="48"/>
        </w:rPr>
        <w:t>deliktima</w:t>
      </w:r>
      <w:proofErr w:type="spellEnd"/>
    </w:p>
    <w:p w14:paraId="5C96D4D8" w14:textId="28F2FB3A" w:rsidR="009C3032" w:rsidRDefault="009C3032" w:rsidP="009C3032">
      <w:proofErr w:type="spellStart"/>
      <w:r>
        <w:t>Uprava</w:t>
      </w:r>
      <w:proofErr w:type="spellEnd"/>
      <w:r>
        <w:t xml:space="preserve"> za </w:t>
      </w:r>
      <w:proofErr w:type="spellStart"/>
      <w:proofErr w:type="gramStart"/>
      <w:r>
        <w:t>kriminalistiku</w:t>
      </w:r>
      <w:proofErr w:type="spellEnd"/>
      <w:r>
        <w:t xml:space="preserve"> ,</w:t>
      </w:r>
      <w:proofErr w:type="spellStart"/>
      <w:r>
        <w:t>nivo</w:t>
      </w:r>
      <w:proofErr w:type="spellEnd"/>
      <w:proofErr w:type="gramEnd"/>
      <w:r>
        <w:t xml:space="preserve"> </w:t>
      </w:r>
      <w:proofErr w:type="spellStart"/>
      <w:r>
        <w:t>uprave</w:t>
      </w:r>
      <w:proofErr w:type="spellEnd"/>
      <w:r>
        <w:t xml:space="preserve">: </w:t>
      </w:r>
      <w:proofErr w:type="spellStart"/>
      <w:r>
        <w:t>Pokrainska</w:t>
      </w:r>
      <w:proofErr w:type="spellEnd"/>
      <w:r>
        <w:t xml:space="preserve">, Brace </w:t>
      </w:r>
      <w:proofErr w:type="spellStart"/>
      <w:r>
        <w:t>Krklju</w:t>
      </w:r>
      <w:proofErr w:type="spellEnd"/>
      <w:r>
        <w:rPr>
          <w:lang w:val="sr-Latn-RS"/>
        </w:rPr>
        <w:t>š</w:t>
      </w:r>
      <w:r>
        <w:t>a, 23, Novi Sad</w:t>
      </w:r>
      <w:r w:rsidR="00D46118">
        <w:t xml:space="preserve">, u </w:t>
      </w:r>
      <w:proofErr w:type="spellStart"/>
      <w:r w:rsidR="00D46118">
        <w:t>daljem</w:t>
      </w:r>
      <w:proofErr w:type="spellEnd"/>
      <w:r w:rsidR="00D46118">
        <w:t xml:space="preserve"> </w:t>
      </w:r>
      <w:proofErr w:type="spellStart"/>
      <w:r w:rsidR="00D46118">
        <w:t>tekstu</w:t>
      </w:r>
      <w:proofErr w:type="spellEnd"/>
      <w:r w:rsidR="00D46118">
        <w:t xml:space="preserve"> </w:t>
      </w:r>
      <w:proofErr w:type="spellStart"/>
      <w:r w:rsidR="00D46118">
        <w:t>klijent</w:t>
      </w:r>
      <w:proofErr w:type="spellEnd"/>
      <w:r w:rsidR="00D46118">
        <w:t>.</w:t>
      </w:r>
    </w:p>
    <w:p w14:paraId="756E0B32" w14:textId="71F64EA0" w:rsidR="009C3032" w:rsidRDefault="009C3032" w:rsidP="009C3032">
      <w:proofErr w:type="spellStart"/>
      <w:r>
        <w:t>Agencija</w:t>
      </w:r>
      <w:proofErr w:type="spellEnd"/>
      <w:r>
        <w:t xml:space="preserve"> za </w:t>
      </w:r>
      <w:proofErr w:type="spellStart"/>
      <w:r>
        <w:t>objavljivanje</w:t>
      </w:r>
      <w:proofErr w:type="spellEnd"/>
      <w:r>
        <w:t xml:space="preserve"> </w:t>
      </w:r>
      <w:proofErr w:type="spellStart"/>
      <w:r>
        <w:t>zakona</w:t>
      </w:r>
      <w:proofErr w:type="spellEnd"/>
      <w:r>
        <w:t xml:space="preserve">, </w:t>
      </w:r>
      <w:proofErr w:type="spellStart"/>
      <w:r>
        <w:t>Veselina</w:t>
      </w:r>
      <w:proofErr w:type="spellEnd"/>
      <w:r>
        <w:t xml:space="preserve"> </w:t>
      </w:r>
      <w:proofErr w:type="spellStart"/>
      <w:r>
        <w:t>Masleše</w:t>
      </w:r>
      <w:proofErr w:type="spellEnd"/>
      <w:r>
        <w:t>, 74, Novi Sad</w:t>
      </w:r>
      <w:r w:rsidR="00D46118">
        <w:t xml:space="preserve">, u </w:t>
      </w:r>
      <w:proofErr w:type="spellStart"/>
      <w:r w:rsidR="00D46118">
        <w:t>daljem</w:t>
      </w:r>
      <w:proofErr w:type="spellEnd"/>
      <w:r w:rsidR="00D46118">
        <w:t xml:space="preserve"> </w:t>
      </w:r>
      <w:proofErr w:type="spellStart"/>
      <w:r w:rsidR="00D46118">
        <w:t>tekstu</w:t>
      </w:r>
      <w:proofErr w:type="spellEnd"/>
      <w:r w:rsidR="00D46118">
        <w:t xml:space="preserve"> </w:t>
      </w:r>
      <w:proofErr w:type="spellStart"/>
      <w:r w:rsidR="00D46118">
        <w:t>agencija</w:t>
      </w:r>
      <w:proofErr w:type="spellEnd"/>
      <w:r w:rsidR="00D46118">
        <w:t>.</w:t>
      </w:r>
    </w:p>
    <w:p w14:paraId="77C8C1D4" w14:textId="77777777" w:rsidR="00D46118" w:rsidRDefault="00D46118" w:rsidP="009C30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6118" w14:paraId="46D9DBB9" w14:textId="77777777" w:rsidTr="00D46118">
        <w:tc>
          <w:tcPr>
            <w:tcW w:w="9350" w:type="dxa"/>
          </w:tcPr>
          <w:p w14:paraId="6E4526ED" w14:textId="77777777" w:rsidR="00D46118" w:rsidRDefault="00D46118" w:rsidP="00D46118">
            <w:pPr>
              <w:pStyle w:val="8ldmd"/>
              <w:spacing w:before="0" w:beforeAutospacing="0" w:after="0" w:afterAutospacing="0"/>
              <w:textAlignment w:val="baseline"/>
              <w:rPr>
                <w:rFonts w:ascii="Poppins" w:hAnsi="Poppins" w:cs="Poppins"/>
                <w:color w:val="000000"/>
              </w:rPr>
            </w:pP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Pod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krvnim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deliktima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podrazumevaju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se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svi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oblici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napada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život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telesni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integritet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oveka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Pojavni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oblici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krvnih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delikata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: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telesne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povrede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nedozvoljen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prekid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trudno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ć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navo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đ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enje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samoubistvo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pomaganje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samoubistvu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estvovanje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u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tu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u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kojoj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je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neko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lice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lišeno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života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ili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mu je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naneta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teška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telesna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povreda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ugrožavanje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opasnim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oru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đ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em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tu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ili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sva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đ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izlaganje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opasnosti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napuštanje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nemo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ć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nog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lica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nepružanje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pomo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ć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trgovina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ljudima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radi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oduzimanja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organa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ili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dela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tela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zna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oni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delikti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kojima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se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oduzima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život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povre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đ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uje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ili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ugrožava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život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telo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zdravlje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.</w:t>
            </w:r>
          </w:p>
          <w:p w14:paraId="6DF3567E" w14:textId="77777777" w:rsidR="00D46118" w:rsidRDefault="00D46118" w:rsidP="00D46118">
            <w:pPr>
              <w:pStyle w:val="8ldmd"/>
              <w:spacing w:before="0" w:beforeAutospacing="0" w:after="0" w:afterAutospacing="0"/>
              <w:textAlignment w:val="baseline"/>
              <w:rPr>
                <w:rFonts w:ascii="Poppins" w:hAnsi="Poppins" w:cs="Poppins"/>
                <w:color w:val="000000"/>
              </w:rPr>
            </w:pP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Kriminološka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istraživanja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pokazuju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da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me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đ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izvršiocima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krvnih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delikata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kao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delikte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nasilja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uopšte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preovla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đ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uju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mla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đ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muškarci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nižeg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obrazovnog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kvalifikacionog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nivoa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nešto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nižim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ekonomskim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statusom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od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proseka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ali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nisu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ekonomski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egzistencijalno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ugroženi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), da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oni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poti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iz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deficijentnih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porodica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usled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razvoda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braka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da u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porodici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ima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socijalno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patoloških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pojava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posebno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alkoholizma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besposli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enja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kocke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.</w:t>
            </w:r>
          </w:p>
          <w:p w14:paraId="2B4A1E7B" w14:textId="77777777" w:rsidR="00D46118" w:rsidRDefault="00D46118" w:rsidP="00D46118">
            <w:pPr>
              <w:pStyle w:val="8ldmd"/>
              <w:spacing w:before="0" w:beforeAutospacing="0" w:after="0" w:afterAutospacing="0"/>
              <w:textAlignment w:val="baseline"/>
              <w:rPr>
                <w:rFonts w:ascii="Poppins" w:hAnsi="Poppins" w:cs="Poppins"/>
                <w:color w:val="000000"/>
              </w:rPr>
            </w:pP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Motivi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izvršenja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krvnih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delikata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naj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eš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ć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: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koristoljublje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osveta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ljubomora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Istraživanja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krvnih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delikata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psihijatrijskog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aspekta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ukazuju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zna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ajan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uticaj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afekta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koji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izaziva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razdražljivost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žestoku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agresiju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tako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da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postoje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krvni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delikti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izvršeni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u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afektivnim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posebnim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psihopatološkim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stanjima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.</w:t>
            </w:r>
          </w:p>
          <w:p w14:paraId="55800E27" w14:textId="77777777" w:rsidR="00D46118" w:rsidRDefault="00D46118" w:rsidP="00D46118">
            <w:pPr>
              <w:pStyle w:val="8ldmd"/>
              <w:spacing w:before="0" w:beforeAutospacing="0" w:after="0" w:afterAutospacing="0"/>
              <w:textAlignment w:val="baseline"/>
              <w:rPr>
                <w:rFonts w:ascii="Poppins" w:hAnsi="Poppins" w:cs="Poppins"/>
                <w:color w:val="000000"/>
              </w:rPr>
            </w:pPr>
            <w:proofErr w:type="spellStart"/>
            <w:r>
              <w:rPr>
                <w:rStyle w:val="uyhf3"/>
                <w:rFonts w:ascii="inherit" w:hAnsi="inherit" w:cs="Poppins"/>
                <w:i/>
                <w:iCs/>
                <w:color w:val="000000"/>
                <w:bdr w:val="none" w:sz="0" w:space="0" w:color="auto" w:frame="1"/>
              </w:rPr>
              <w:t>Ubistvo</w:t>
            </w:r>
            <w:proofErr w:type="spellEnd"/>
          </w:p>
          <w:p w14:paraId="2CABD439" w14:textId="77777777" w:rsidR="00D46118" w:rsidRDefault="00D46118" w:rsidP="00D46118">
            <w:pPr>
              <w:pStyle w:val="8ldmd"/>
              <w:spacing w:before="0" w:beforeAutospacing="0" w:after="0" w:afterAutospacing="0"/>
              <w:textAlignment w:val="baseline"/>
              <w:rPr>
                <w:rFonts w:ascii="Poppins" w:hAnsi="Poppins" w:cs="Poppins"/>
                <w:color w:val="000000"/>
              </w:rPr>
            </w:pP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predstavlja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osnovno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krivi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delo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protiv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prava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život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izvršenjem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se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uništava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ljudski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život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zbog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toga se u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krivi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nim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zakonicima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svrstava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u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krivi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dela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protiv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života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tela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Krivi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nopravno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definisanje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lastRenderedPageBreak/>
              <w:t>ubistva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svodi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se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odre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đ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ivanje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objekta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napada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radnje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izvršenja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posledice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oblika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vinosti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kazne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kod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krivi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nog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dela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. Osim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odre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đ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ivanja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pojma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propisima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krivi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nih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zakona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utvr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đ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uju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se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vrste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ubistava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Izme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đ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krivi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nih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zakona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pojedinih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zemalja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postoje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razlike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u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vrstama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ubistava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pa,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samim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tim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u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krivi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nopravnim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tipologijama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.</w:t>
            </w:r>
          </w:p>
          <w:p w14:paraId="56F95151" w14:textId="77777777" w:rsidR="00D46118" w:rsidRDefault="00D46118" w:rsidP="00D46118">
            <w:pPr>
              <w:pStyle w:val="8ldmd"/>
              <w:spacing w:before="0" w:beforeAutospacing="0" w:after="0" w:afterAutospacing="0"/>
              <w:textAlignment w:val="baseline"/>
              <w:rPr>
                <w:rFonts w:ascii="Poppins" w:hAnsi="Poppins" w:cs="Poppins"/>
                <w:color w:val="000000"/>
              </w:rPr>
            </w:pP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U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anglosaksonskom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pravu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homicid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obuhvata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: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predumišljajem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(Murder),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bez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predumišljaja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(Manslaughter)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opravdano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izvinjavaju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ć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(lawful, excusable homicide). U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francuskom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pravu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postoji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razlika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izme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đ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umorstva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ili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predumišljajem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meurtre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)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obi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nog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assasiant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). Sa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umorstvom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se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izjedna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ava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srodnika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po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uzlaznoj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liniji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trovanjem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svirepo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izvršeno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mu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enjem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varvarskim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sredstvima.76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Švajcarsko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ranije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važe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ć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nema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zakonodavstvo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razlikovali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namerno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vorsätzliche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Tötung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),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umorstvo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(Mord)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Totschlag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).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Umorstvo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se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definisalo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kao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namerno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izvršeno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predumišljajem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dok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je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obi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bilo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bez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predumišljaja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Novelirani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Krivi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zakonik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Nema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predvi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đ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tri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oblika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: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obi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Totschlag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),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umorstvo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(Mord)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koje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obuhvata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pokušano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završeno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predumišljajem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vorsätzliche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Tötung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)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deteta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Kindestötung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).</w:t>
            </w:r>
          </w:p>
          <w:p w14:paraId="35B17CA0" w14:textId="77777777" w:rsidR="00D46118" w:rsidRDefault="00D46118" w:rsidP="00D46118">
            <w:pPr>
              <w:pStyle w:val="8ldmd"/>
              <w:spacing w:before="0" w:beforeAutospacing="0" w:after="0" w:afterAutospacing="0"/>
              <w:textAlignment w:val="baseline"/>
              <w:rPr>
                <w:rFonts w:ascii="Poppins" w:hAnsi="Poppins" w:cs="Poppins"/>
                <w:color w:val="000000"/>
              </w:rPr>
            </w:pP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Odredbama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Krivi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nog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zakonika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Republike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Srbije78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inkriminisano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je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protivpravno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lišenje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života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drugog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lica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bez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posebnih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kvalifikatornih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okolnosti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l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. 113 KZ RS),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više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vrsta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teškog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ubistava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kvalifikatornim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okolnostima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koje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ga </w:t>
            </w:r>
            <w:proofErr w:type="spellStart"/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ine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težim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društveno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opasnijim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l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. 114)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manjim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stepenom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društvene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opasnosti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l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. 115-118 KZ RS).</w:t>
            </w:r>
          </w:p>
          <w:p w14:paraId="7506C4B0" w14:textId="77777777" w:rsidR="00D46118" w:rsidRDefault="00D46118" w:rsidP="00D46118">
            <w:pPr>
              <w:pStyle w:val="8ldmd"/>
              <w:spacing w:before="0" w:beforeAutospacing="0" w:after="0" w:afterAutospacing="0"/>
              <w:textAlignment w:val="baseline"/>
              <w:rPr>
                <w:rFonts w:ascii="Poppins" w:hAnsi="Poppins" w:cs="Poppins"/>
                <w:color w:val="000000"/>
              </w:rPr>
            </w:pP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Obi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se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sastoji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u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umišljajnom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protivpravnom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lišavanju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života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drugog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lica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bez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kvalifikatornih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okolnosti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koje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ine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težim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ili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bez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posebnih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okolnosti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koje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ine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lakšim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odnosno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privilegovanim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. </w:t>
            </w:r>
          </w:p>
          <w:p w14:paraId="1FB4877B" w14:textId="77777777" w:rsidR="00D46118" w:rsidRDefault="00D46118" w:rsidP="00D46118">
            <w:pPr>
              <w:pStyle w:val="8ldmd"/>
              <w:spacing w:before="0" w:beforeAutospacing="0" w:after="0" w:afterAutospacing="0"/>
              <w:textAlignment w:val="baseline"/>
              <w:rPr>
                <w:rFonts w:ascii="Poppins" w:hAnsi="Poppins" w:cs="Poppins"/>
                <w:color w:val="000000"/>
              </w:rPr>
            </w:pP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Kvalifikovana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teška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)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postoje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kada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je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umišljajno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izvršeno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takav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in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pod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takvim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okolnostima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koji mu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daju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ve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ć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stepen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društvene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opasnosti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što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dovodi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do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težeg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kažnjavanja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. Ova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se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dalje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dele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nekoliko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vrsta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prema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razli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itim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kriterijumima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: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inu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izvršenja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svirep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in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podmukao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in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),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pobudama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izvršioca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iz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koristoljublja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radi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izvršenja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ili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prikrivanja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drugog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krivi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nog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dela,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iz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bezobzirne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osvete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ili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drugih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niskih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pobuda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),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okolnosti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izvršenja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posledici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bezobzirnom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nasilni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kom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ponašanju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izvršenju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lastRenderedPageBreak/>
              <w:t>razbojništva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razbojni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kra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đ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kojim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se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umišljajem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dovodi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u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opasnost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život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još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nekog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lica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više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lica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ukoliko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se ne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radi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se o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mah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deteta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poro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đ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aju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ili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lišenju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života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iz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samilosti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),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osobenosti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žrtve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službenog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ili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vojnog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lica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vršenju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službene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dužnosti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sudije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javnog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tužioca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zamenika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javnog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tužioca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policijskog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službenika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lica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koje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obavlja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poslove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od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javnog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zna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aja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u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vezi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poslovima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koje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to lice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obavlja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deteta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ili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bremenite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žene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lana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porodice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kojeg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je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prethodno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zlostavljao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).</w:t>
            </w:r>
          </w:p>
          <w:p w14:paraId="6BBE30C1" w14:textId="77777777" w:rsidR="00D46118" w:rsidRDefault="00D46118" w:rsidP="00D46118">
            <w:pPr>
              <w:pStyle w:val="8ldmd"/>
              <w:spacing w:before="0" w:beforeAutospacing="0" w:after="0" w:afterAutospacing="0"/>
              <w:textAlignment w:val="baseline"/>
              <w:rPr>
                <w:rFonts w:ascii="Poppins" w:hAnsi="Poppins" w:cs="Poppins"/>
                <w:color w:val="000000"/>
              </w:rPr>
            </w:pPr>
            <w:proofErr w:type="spellStart"/>
            <w:r>
              <w:rPr>
                <w:rStyle w:val="uyhf3"/>
                <w:rFonts w:ascii="inherit" w:hAnsi="inherit" w:cs="Poppins"/>
                <w:i/>
                <w:iCs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inherit" w:hAnsi="inherit" w:cs="Poppins"/>
                <w:i/>
                <w:iCs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inherit" w:hAnsi="inherit" w:cs="Poppins"/>
                <w:i/>
                <w:iCs/>
                <w:color w:val="000000"/>
                <w:bdr w:val="none" w:sz="0" w:space="0" w:color="auto" w:frame="1"/>
              </w:rPr>
              <w:t>na</w:t>
            </w:r>
            <w:proofErr w:type="spellEnd"/>
            <w:r>
              <w:rPr>
                <w:rStyle w:val="uyhf3"/>
                <w:rFonts w:ascii="inherit" w:hAnsi="inherit" w:cs="Poppins"/>
                <w:i/>
                <w:iCs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inherit" w:hAnsi="inherit" w:cs="Poppins"/>
                <w:i/>
                <w:iCs/>
                <w:color w:val="000000"/>
                <w:bdr w:val="none" w:sz="0" w:space="0" w:color="auto" w:frame="1"/>
              </w:rPr>
              <w:t>svirep</w:t>
            </w:r>
            <w:proofErr w:type="spellEnd"/>
            <w:r>
              <w:rPr>
                <w:rStyle w:val="uyhf3"/>
                <w:rFonts w:ascii="inherit" w:hAnsi="inherit" w:cs="Poppins"/>
                <w:i/>
                <w:iCs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inherit" w:hAnsi="inherit" w:cs="Poppins"/>
                <w:i/>
                <w:iCs/>
                <w:color w:val="000000"/>
                <w:bdr w:val="none" w:sz="0" w:space="0" w:color="auto" w:frame="1"/>
              </w:rPr>
              <w:t>način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postoji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kada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inilac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nanosi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žrtvi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prekomerne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fizi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psihi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bolove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. U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krivi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nopravnoj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literaturi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se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isti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da ova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vrsta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ubistava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ima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objektivna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subjektivna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obeležja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Svako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je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izvestan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in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surovo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svirepo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ali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se ova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vrsta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kvalifikovanog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ubistva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karakteriše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posebno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izraženom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surovoš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ć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jer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se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žrtvi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nanose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takve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muke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patnje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bolovi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koji po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svom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intenzitetu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prelaze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bolove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koji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obi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no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nastaju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prilikom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lišenja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života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. Subjektivna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obeležja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se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odnose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stav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inioca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prema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žrtvi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u</w:t>
            </w:r>
            <w:r>
              <w:rPr>
                <w:rStyle w:val="uyhf3"/>
                <w:rFonts w:ascii="Calibri" w:hAnsi="Calibri" w:cs="Calibri"/>
                <w:color w:val="000000"/>
                <w:bdr w:val="none" w:sz="0" w:space="0" w:color="auto" w:frame="1"/>
              </w:rPr>
              <w:t>č</w:t>
            </w:r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inilac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je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svestan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da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žrtva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trpi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bolove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velikog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intenziteta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ali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je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neosetljiv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hladnokrvan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prema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njenim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mukama</w:t>
            </w:r>
            <w:proofErr w:type="spellEnd"/>
            <w:r>
              <w:rPr>
                <w:rStyle w:val="uyhf3"/>
                <w:rFonts w:ascii="Poppins" w:hAnsi="Poppins" w:cs="Poppins"/>
                <w:color w:val="000000"/>
                <w:bdr w:val="none" w:sz="0" w:space="0" w:color="auto" w:frame="1"/>
              </w:rPr>
              <w:t>.</w:t>
            </w:r>
          </w:p>
          <w:p w14:paraId="69F7147C" w14:textId="77777777" w:rsidR="00D46118" w:rsidRDefault="00D46118" w:rsidP="009C3032"/>
        </w:tc>
      </w:tr>
    </w:tbl>
    <w:p w14:paraId="1D55456D" w14:textId="77777777" w:rsidR="00D46118" w:rsidRDefault="00D46118" w:rsidP="009C3032"/>
    <w:tbl>
      <w:tblPr>
        <w:tblStyle w:val="TableGrid"/>
        <w:tblpPr w:leftFromText="180" w:rightFromText="180" w:vertAnchor="text" w:horzAnchor="margin" w:tblpXSpec="right" w:tblpY="363"/>
        <w:tblW w:w="0" w:type="auto"/>
        <w:tblLook w:val="04A0" w:firstRow="1" w:lastRow="0" w:firstColumn="1" w:lastColumn="0" w:noHBand="0" w:noVBand="1"/>
      </w:tblPr>
      <w:tblGrid>
        <w:gridCol w:w="3494"/>
      </w:tblGrid>
      <w:tr w:rsidR="00D46118" w14:paraId="0F161ED7" w14:textId="77777777" w:rsidTr="00D46118">
        <w:trPr>
          <w:trHeight w:val="1628"/>
        </w:trPr>
        <w:tc>
          <w:tcPr>
            <w:tcW w:w="3494" w:type="dxa"/>
          </w:tcPr>
          <w:p w14:paraId="2B6CE268" w14:textId="5679C4FA" w:rsidR="00D46118" w:rsidRDefault="002E7580" w:rsidP="00D46118">
            <w:pPr>
              <w:spacing w:after="160" w:line="259" w:lineRule="auto"/>
            </w:pPr>
            <w:r w:rsidRPr="00D46118">
              <w:t xml:space="preserve">        </w:t>
            </w:r>
            <w:proofErr w:type="spellStart"/>
            <w:r>
              <w:t>P</w:t>
            </w:r>
            <w:r w:rsidRPr="00D46118">
              <w:t>otpis</w:t>
            </w:r>
            <w:proofErr w:type="spellEnd"/>
            <w:r w:rsidRPr="00D46118">
              <w:t xml:space="preserve"> ugovora za </w:t>
            </w:r>
            <w:proofErr w:type="spellStart"/>
            <w:r>
              <w:t>agenciju</w:t>
            </w:r>
            <w:proofErr w:type="spellEnd"/>
          </w:p>
          <w:p w14:paraId="41BB5EF1" w14:textId="6FD65932" w:rsidR="00D46118" w:rsidRPr="00D46118" w:rsidRDefault="00D46118" w:rsidP="00D46118">
            <w:pPr>
              <w:spacing w:after="160" w:line="259" w:lineRule="auto"/>
              <w:rPr>
                <w:u w:val="single"/>
              </w:rPr>
            </w:pPr>
            <w:r>
              <w:t xml:space="preserve">              </w:t>
            </w:r>
            <w:r w:rsidRPr="00D46118">
              <w:rPr>
                <w:u w:val="single"/>
              </w:rPr>
              <w:t xml:space="preserve"> </w:t>
            </w:r>
            <w:r>
              <w:rPr>
                <w:u w:val="single"/>
              </w:rPr>
              <w:t>Marko Vuković</w:t>
            </w:r>
          </w:p>
          <w:p w14:paraId="0B7B2A65" w14:textId="70A9684D" w:rsidR="00D46118" w:rsidRDefault="00D46118" w:rsidP="00D46118">
            <w:pPr>
              <w:spacing w:after="160" w:line="259" w:lineRule="auto"/>
            </w:pPr>
          </w:p>
        </w:tc>
      </w:tr>
    </w:tbl>
    <w:p w14:paraId="72E1A953" w14:textId="19B0611F" w:rsidR="009C3032" w:rsidRDefault="009C3032" w:rsidP="009C30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4"/>
      </w:tblGrid>
      <w:tr w:rsidR="00D46118" w14:paraId="540279E4" w14:textId="77777777" w:rsidTr="00D46118">
        <w:trPr>
          <w:trHeight w:val="1628"/>
        </w:trPr>
        <w:tc>
          <w:tcPr>
            <w:tcW w:w="3494" w:type="dxa"/>
            <w:tcBorders>
              <w:bottom w:val="single" w:sz="4" w:space="0" w:color="auto"/>
            </w:tcBorders>
          </w:tcPr>
          <w:p w14:paraId="193355F6" w14:textId="0145013F" w:rsidR="00D46118" w:rsidRDefault="002E7580" w:rsidP="00B66707">
            <w:pPr>
              <w:spacing w:after="160" w:line="259" w:lineRule="auto"/>
              <w:rPr>
                <w:u w:val="single"/>
              </w:rPr>
            </w:pPr>
            <w:r w:rsidRPr="00D46118">
              <w:t xml:space="preserve">        </w:t>
            </w:r>
            <w:proofErr w:type="spellStart"/>
            <w:r>
              <w:t>P</w:t>
            </w:r>
            <w:r w:rsidRPr="00D46118">
              <w:t>otpis</w:t>
            </w:r>
            <w:proofErr w:type="spellEnd"/>
            <w:r w:rsidRPr="00D46118">
              <w:t xml:space="preserve"> ugovora za </w:t>
            </w:r>
            <w:proofErr w:type="spellStart"/>
            <w:r w:rsidRPr="00D46118">
              <w:t>klijenta</w:t>
            </w:r>
            <w:proofErr w:type="spellEnd"/>
          </w:p>
          <w:p w14:paraId="099C80B6" w14:textId="0C704A9E" w:rsidR="00D46118" w:rsidRPr="002E7580" w:rsidRDefault="00D46118" w:rsidP="00B66707">
            <w:pPr>
              <w:spacing w:after="160" w:line="259" w:lineRule="auto"/>
              <w:rPr>
                <w:u w:val="single"/>
                <w:lang w:val="sr-Latn-RS"/>
              </w:rPr>
            </w:pPr>
            <w:r w:rsidRPr="00D46118">
              <w:t xml:space="preserve">  </w:t>
            </w:r>
            <w:r>
              <w:t xml:space="preserve">                 </w:t>
            </w:r>
            <w:r w:rsidRPr="00D46118">
              <w:rPr>
                <w:u w:val="single"/>
              </w:rPr>
              <w:t xml:space="preserve">Milovan </w:t>
            </w:r>
            <w:proofErr w:type="spellStart"/>
            <w:r w:rsidRPr="00D46118">
              <w:rPr>
                <w:u w:val="single"/>
              </w:rPr>
              <w:t>Gl</w:t>
            </w:r>
            <w:r>
              <w:rPr>
                <w:u w:val="single"/>
              </w:rPr>
              <w:t>ogi</w:t>
            </w:r>
            <w:proofErr w:type="spellEnd"/>
            <w:r>
              <w:rPr>
                <w:u w:val="single"/>
                <w:lang w:val="sr-Latn-RS"/>
              </w:rPr>
              <w:t>ć</w:t>
            </w:r>
          </w:p>
        </w:tc>
      </w:tr>
    </w:tbl>
    <w:p w14:paraId="63F150B1" w14:textId="6D2F8320" w:rsidR="009C3032" w:rsidRDefault="00D46118" w:rsidP="009C3032">
      <w:r>
        <w:t xml:space="preserve">   </w:t>
      </w:r>
    </w:p>
    <w:p w14:paraId="1E65C0CD" w14:textId="77777777" w:rsidR="00D46118" w:rsidRPr="009C3032" w:rsidRDefault="00D46118" w:rsidP="009C3032"/>
    <w:sectPr w:rsidR="00D46118" w:rsidRPr="009C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32"/>
    <w:rsid w:val="00127E25"/>
    <w:rsid w:val="001655D2"/>
    <w:rsid w:val="001868A7"/>
    <w:rsid w:val="002E7580"/>
    <w:rsid w:val="003D05FD"/>
    <w:rsid w:val="007B4E28"/>
    <w:rsid w:val="007D275D"/>
    <w:rsid w:val="00875411"/>
    <w:rsid w:val="009C3032"/>
    <w:rsid w:val="00D46118"/>
    <w:rsid w:val="00DA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6E54"/>
  <w15:chartTrackingRefBased/>
  <w15:docId w15:val="{A83E3A1F-F7E2-4D00-837E-821412CB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3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032"/>
    <w:rPr>
      <w:color w:val="605E5C"/>
      <w:shd w:val="clear" w:color="auto" w:fill="E1DFDD"/>
    </w:rPr>
  </w:style>
  <w:style w:type="paragraph" w:customStyle="1" w:styleId="8ldmd">
    <w:name w:val="_8ldmd"/>
    <w:basedOn w:val="Normal"/>
    <w:rsid w:val="00D46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yhf3">
    <w:name w:val="uyhf3"/>
    <w:basedOn w:val="DefaultParagraphFont"/>
    <w:rsid w:val="00D46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pravans@gmail.com" TargetMode="External"/><Relationship Id="rId4" Type="http://schemas.openxmlformats.org/officeDocument/2006/relationships/hyperlink" Target="mailto:lawif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Đorđe Vučković</dc:creator>
  <cp:keywords/>
  <dc:description/>
  <cp:lastModifiedBy>Đorđe Vučković</cp:lastModifiedBy>
  <cp:revision>3</cp:revision>
  <dcterms:created xsi:type="dcterms:W3CDTF">2024-02-03T16:55:00Z</dcterms:created>
  <dcterms:modified xsi:type="dcterms:W3CDTF">2024-02-03T21:34:00Z</dcterms:modified>
</cp:coreProperties>
</file>