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27.png" ContentType="image/png"/>
  <Override PartName="/word/media/rId58.png" ContentType="image/png"/>
  <Override PartName="/word/media/rId63.png" ContentType="image/png"/>
  <Override PartName="/word/media/rId67.png" ContentType="image/png"/>
  <Override PartName="/word/media/rId76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>Document d'analyse et de conception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Architecture, modèle de données et choix de conception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Architecture serveurs et applications monétiques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25" w:name="objet-et-périmètre-du-document"/>
    <w:p>
      <w:pPr>
        <w:pStyle w:val="Titre1"/>
      </w:pPr>
      <w:r>
        <w:t xml:space="preserve">Objet et périmètre du document</w:t>
      </w:r>
    </w:p>
    <w:p>
      <w:pPr>
        <w:pStyle w:val="FirstParagraph"/>
      </w:pPr>
      <w:r>
        <w:t xml:space="preserve">Ce document présente l’analyse et la conception de</w:t>
      </w:r>
      <w:r>
        <w:t xml:space="preserve"> </w:t>
      </w:r>
      <w:r>
        <w:rPr>
          <w:b/>
          <w:bCs/>
        </w:rPr>
        <w:t xml:space="preserve">Sentinel</w:t>
      </w:r>
      <w:r>
        <w:t xml:space="preserve">, application de supervision des</w:t>
      </w:r>
      <w:r>
        <w:t xml:space="preserve"> </w:t>
      </w:r>
      <w:r>
        <w:t xml:space="preserve">logs et de l’état des services du parc applicatif monétique du GIE GCB. Il décrit les acteurs et</w:t>
      </w:r>
      <w:r>
        <w:t xml:space="preserve"> </w:t>
      </w:r>
      <w:r>
        <w:t xml:space="preserve">leurs droits, les règles de gestion structurantes, le modèle de données et les choix techniques</w:t>
      </w:r>
      <w:r>
        <w:t xml:space="preserve"> </w:t>
      </w:r>
      <w:r>
        <w:t xml:space="preserve">retenus.</w:t>
      </w:r>
    </w:p>
    <w:p>
      <w:pPr>
        <w:pStyle w:val="Corpsdetexte"/>
      </w:pPr>
      <w:r>
        <w:t xml:space="preserve">Il documente l’état</w:t>
      </w:r>
      <w:r>
        <w:t xml:space="preserve"> </w:t>
      </w:r>
      <w:r>
        <w:rPr>
          <w:b/>
          <w:bCs/>
        </w:rPr>
        <w:t xml:space="preserve">réellement implémenté</w:t>
      </w:r>
      <w:r>
        <w:t xml:space="preserve">, ainsi que les décisions prises en cours de</w:t>
      </w:r>
      <w:r>
        <w:t xml:space="preserve"> </w:t>
      </w:r>
      <w:r>
        <w:t xml:space="preserve">réalisation et leur justification. Lorsqu’un choix s’écarte de ce qui était initialement prévu,</w:t>
      </w:r>
      <w:r>
        <w:t xml:space="preserve"> </w:t>
      </w:r>
      <w:r>
        <w:t xml:space="preserve">l’écart est signalé et motivé ; le journal complet de ces arbitrages se trouve dans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.</w:t>
      </w:r>
    </w:p>
    <w:p>
      <w:pPr>
        <w:pStyle w:val="Corpsdetexte"/>
      </w:pPr>
      <w:r>
        <w:t xml:space="preserve">Sont hors périmètre de cette version : l’édition en place de certaines entités de référence, et</w:t>
      </w:r>
      <w:r>
        <w:t xml:space="preserve"> </w:t>
      </w:r>
      <w:r>
        <w:t xml:space="preserve">l’exploitation d’une instance OpenSearch réelle — l’adaptateur correspondant est écrit mais n’a</w:t>
      </w:r>
      <w:r>
        <w:t xml:space="preserve"> </w:t>
      </w:r>
      <w:r>
        <w:t xml:space="preserve">jamais été exercé faute d’environnement.</w:t>
      </w:r>
    </w:p>
    <w:bookmarkEnd w:id="25"/>
    <w:bookmarkStart w:id="26" w:name="contexte-métier"/>
    <w:p>
      <w:pPr>
        <w:pStyle w:val="Titre1"/>
      </w:pPr>
      <w:r>
        <w:t xml:space="preserve">Contexte métier</w:t>
      </w:r>
    </w:p>
    <w:p>
      <w:pPr>
        <w:pStyle w:val="FirstParagraph"/>
      </w:pPr>
      <w:r>
        <w:t xml:space="preserve">La monétique du GIE GCB repose sur une dizaine d’applications hétérogènes, réparties sur onze</w:t>
      </w:r>
      <w:r>
        <w:t xml:space="preserve"> </w:t>
      </w:r>
      <w:r>
        <w:t xml:space="preserve">serveurs : des services Spring Boot, des applications Java simples, un backend Node sous PM2, des</w:t>
      </w:r>
      <w:r>
        <w:t xml:space="preserve"> </w:t>
      </w:r>
      <w:r>
        <w:t xml:space="preserve">frontaux React servis par Nginx, et un composant maison au format de log spécifique.</w:t>
      </w:r>
    </w:p>
    <w:p>
      <w:pPr>
        <w:pStyle w:val="Corpsdetexte"/>
      </w:pPr>
      <w:r>
        <w:t xml:space="preserve">Ces applications ne partagent ni technologie, ni format de log, ni convention de nommage de</w:t>
      </w:r>
      <w:r>
        <w:t xml:space="preserve"> </w:t>
      </w:r>
      <w:r>
        <w:t xml:space="preserve">fichier. Elles ont en revanche un point commun : lorsqu’elles se dégradent, personne ne l’apprend</w:t>
      </w:r>
      <w:r>
        <w:t xml:space="preserve"> </w:t>
      </w:r>
      <w:r>
        <w:t xml:space="preserve">avant qu’un utilisateur ne le signale. La détection repose sur une connexion manuelle au serveur</w:t>
      </w:r>
      <w:r>
        <w:t xml:space="preserve"> </w:t>
      </w:r>
      <w:r>
        <w:t xml:space="preserve">concerné et une lecture de fichier — ce qui suppose de savoir</w:t>
      </w:r>
      <w:r>
        <w:t xml:space="preserve"> </w:t>
      </w:r>
      <w:r>
        <w:rPr>
          <w:i/>
          <w:iCs/>
        </w:rPr>
        <w:t xml:space="preserve">où</w:t>
      </w:r>
      <w:r>
        <w:t xml:space="preserve"> </w:t>
      </w:r>
      <w:r>
        <w:t xml:space="preserve">regarder, et</w:t>
      </w:r>
      <w:r>
        <w:t xml:space="preserve"> </w:t>
      </w:r>
      <w:r>
        <w:rPr>
          <w:i/>
          <w:iCs/>
        </w:rPr>
        <w:t xml:space="preserve">quand</w:t>
      </w:r>
      <w:r>
        <w:t xml:space="preserve">.</w:t>
      </w:r>
    </w:p>
    <w:p>
      <w:pPr>
        <w:pStyle w:val="Corpsdetexte"/>
      </w:pPr>
      <w:r>
        <w:t xml:space="preserve">L’application vise trois objectifs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centraliser</w:t>
      </w:r>
      <w:r>
        <w:t xml:space="preserve"> </w:t>
      </w:r>
      <w:r>
        <w:t xml:space="preserve">les logs de toutes les applications du parc, quel que soit leur format, et les</w:t>
      </w:r>
      <w:r>
        <w:t xml:space="preserve"> </w:t>
      </w:r>
      <w:r>
        <w:t xml:space="preserve">rendre consultables en temps réel comme dans l’historique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détecter automatiquement</w:t>
      </w:r>
      <w:r>
        <w:t xml:space="preserve"> </w:t>
      </w:r>
      <w:r>
        <w:t xml:space="preserve">les dégradations selon des règles paramétrables par application,</w:t>
      </w:r>
      <w:r>
        <w:t xml:space="preserve"> </w:t>
      </w:r>
      <w:r>
        <w:t xml:space="preserve">sans attendre un signalement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alerter</w:t>
      </w:r>
      <w:r>
        <w:t xml:space="preserve"> </w:t>
      </w:r>
      <w:r>
        <w:t xml:space="preserve">de façon proportionnée — visuelle et sonore sur l’écran de l’open space, par courriel</w:t>
      </w:r>
      <w:r>
        <w:t xml:space="preserve"> </w:t>
      </w:r>
      <w:r>
        <w:t xml:space="preserve">et SMS pour ce qui ne peut pas attendre.</w:t>
      </w:r>
    </w:p>
    <w:p>
      <w:pPr>
        <w:pStyle w:val="FirstParagraph"/>
      </w:pPr>
      <w:r>
        <w:t xml:space="preserve">Un quatrième besoin est apparu à l’usage : savoir qu’un service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est tombé, ce qu’aucune</w:t>
      </w:r>
      <w:r>
        <w:t xml:space="preserve"> </w:t>
      </w:r>
      <w:r>
        <w:t xml:space="preserve">ligne de log ne dit — un service arrêté n’écrit rien. La supervision de l’état des services est</w:t>
      </w:r>
      <w:r>
        <w:t xml:space="preserve"> </w:t>
      </w:r>
      <w:r>
        <w:t xml:space="preserve">donc traitée comme un flux distinct de celui des logs.</w:t>
      </w:r>
    </w:p>
    <w:bookmarkEnd w:id="26"/>
    <w:bookmarkStart w:id="40" w:name="analyse-fonctionnelle"/>
    <w:p>
      <w:pPr>
        <w:pStyle w:val="Titre1"/>
      </w:pPr>
      <w:r>
        <w:t xml:space="preserve">Analyse fonctionnelle</w:t>
      </w:r>
    </w:p>
    <w:bookmarkStart w:id="30" w:name="acteurs-et-rôles"/>
    <w:p>
      <w:pPr>
        <w:pStyle w:val="Titre2"/>
      </w:pPr>
      <w:r>
        <w:t xml:space="preserve">Acteurs et rôles</w:t>
      </w:r>
    </w:p>
    <w:p>
      <w:pPr>
        <w:pStyle w:val="FirstParagraph"/>
      </w:pPr>
      <w:r>
        <w:t xml:space="preserve">Trois rôles applicatifs sont définis 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(lecteur),</w:t>
      </w:r>
      <w:r>
        <w:t xml:space="preserve"> </w:t>
      </w:r>
      <w:r>
        <w:rPr>
          <w:rStyle w:val="VerbatimChar"/>
        </w:rPr>
        <w:t xml:space="preserve">superviseur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Contrairement</w:t>
      </w:r>
      <w:r>
        <w:t xml:space="preserve"> </w:t>
      </w:r>
      <w:r>
        <w:t xml:space="preserve">à d’autres modèles, ils ne sont</w:t>
      </w:r>
      <w:r>
        <w:t xml:space="preserve"> </w:t>
      </w:r>
      <w:r>
        <w:rPr>
          <w:b/>
          <w:bCs/>
        </w:rPr>
        <w:t xml:space="preserve">pas cumulables</w:t>
      </w:r>
      <w:r>
        <w:t xml:space="preserve"> </w:t>
      </w:r>
      <w:r>
        <w:t xml:space="preserve">: un compte porte un rôle et un seul.</w:t>
      </w:r>
    </w:p>
    <w:p>
      <w:pPr>
        <w:pStyle w:val="CaptionedFigure"/>
      </w:pPr>
      <w:r>
        <w:drawing>
          <wp:inline>
            <wp:extent cx="3959999" cy="10495081"/>
            <wp:effectExtent b="0" l="0" r="0" t="0"/>
            <wp:docPr descr="Cas d’utilisation par rôle" title="" id="28" name="Picture"/>
            <a:graphic>
              <a:graphicData uri="http://schemas.openxmlformats.org/drawingml/2006/picture">
                <pic:pic>
                  <pic:nvPicPr>
                    <pic:cNvPr descr="diagrammes/05-cas-utilis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10495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 d’utilisation par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apporte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seule : tableau de bord, logs en temps réel, historique, alertes.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lecteur,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le droit de résoudre une alerte et de voir les chemins des fichiers de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superviseur,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l’administration : applications, serveurs, services, règles, configuration, utilisateurs.</w:t>
            </w:r>
          </w:p>
        </w:tc>
      </w:tr>
    </w:tbl>
    <w:p>
      <w:pPr>
        <w:pStyle w:val="Corpsdetexte"/>
      </w:pPr>
      <w:r>
        <w:t xml:space="preserve">Deux acteurs système complètent le tableau : l’</w:t>
      </w:r>
      <w:r>
        <w:rPr>
          <w:b/>
          <w:bCs/>
        </w:rPr>
        <w:t xml:space="preserve">agent Vector</w:t>
      </w:r>
      <w:r>
        <w:t xml:space="preserve"> </w:t>
      </w:r>
      <w:r>
        <w:t xml:space="preserve">installé sur chaque serveur</w:t>
      </w:r>
      <w:r>
        <w:t xml:space="preserve"> </w:t>
      </w:r>
      <w:r>
        <w:t xml:space="preserve">applicatif, qui pousse les logs et l’état des services, et l’</w:t>
      </w:r>
      <w:r>
        <w:rPr>
          <w:b/>
          <w:bCs/>
        </w:rPr>
        <w:t xml:space="preserve">Active Directory</w:t>
      </w:r>
      <w:r>
        <w:t xml:space="preserve">, qui valide les</w:t>
      </w:r>
      <w:r>
        <w:t xml:space="preserve"> </w:t>
      </w:r>
      <w:r>
        <w:t xml:space="preserve">mots de passe sans jamais déterminer les droits applicatifs.</w:t>
      </w:r>
    </w:p>
    <w:p>
      <w:pPr>
        <w:pStyle w:val="Corpsdetexte"/>
      </w:pPr>
      <w:r>
        <w:t xml:space="preserve">Une décision mérite d’être soulignée : bien que les droits de ces trois rôles se trouvent</w:t>
      </w:r>
      <w:r>
        <w:t xml:space="preserve"> </w:t>
      </w:r>
      <w:r>
        <w:t xml:space="preserve">aujourd’hui emboîtés, la conception</w:t>
      </w:r>
      <w:r>
        <w:t xml:space="preserve"> </w:t>
      </w:r>
      <w:r>
        <w:rPr>
          <w:b/>
          <w:bCs/>
        </w:rPr>
        <w:t xml:space="preserve">ne repose sur aucune hiérarchie</w:t>
      </w:r>
      <w:r>
        <w:t xml:space="preserve">. Chaque droit est déclaré</w:t>
      </w:r>
      <w:r>
        <w:t xml:space="preserve"> </w:t>
      </w:r>
      <w:r>
        <w:t xml:space="preserve">explicitement, rôle par rôle, dans une table unique (</w:t>
      </w:r>
      <w:r>
        <w:rPr>
          <w:rStyle w:val="VerbatimChar"/>
        </w:rPr>
        <w:t xml:space="preserve">ROLE_PERMISSIONS</w:t>
      </w:r>
      <w:r>
        <w:t xml:space="preserve">). Une hiérarchie implicite</w:t>
      </w:r>
      <w:r>
        <w:t xml:space="preserve"> </w:t>
      </w:r>
      <w:r>
        <w:t xml:space="preserve">« admin ⊃ superviseur ⊃ viewer » aurait été plus courte à écrire, mais elle rend inexprimable le</w:t>
      </w:r>
      <w:r>
        <w:t xml:space="preserve"> </w:t>
      </w:r>
      <w:r>
        <w:t xml:space="preserve">premier droit qui ne suivrait pas l’ordre attendu — et c’est précisément le genre de droit qui</w:t>
      </w:r>
      <w:r>
        <w:t xml:space="preserve"> </w:t>
      </w:r>
      <w:r>
        <w:t xml:space="preserve">finit par apparaître.</w:t>
      </w:r>
    </w:p>
    <w:bookmarkEnd w:id="30"/>
    <w:bookmarkStart w:id="31" w:name="cas-dutilisation-principaux"/>
    <w:p>
      <w:pPr>
        <w:pStyle w:val="Titre2"/>
      </w:pPr>
      <w:r>
        <w:t xml:space="preserve">Cas d’utilisation principaux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 d’utilisation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Consulter le tableau de bord ; suivre les logs en temps réel ; rechercher dans l’historique ; consulter les alertes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 du lecteur ; résoudre une alerte ; voir les chemins des fichiers de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 du superviseur ; déclarer une application et son serveur ; gérer les services surveillés ; configurer les règles d’alerte ; configurer l’affichage et les canaux ; généraliser une configuration ; gérer les utilisateurs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Envoyer des logs ; remonter l’état des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un mot de passe</w:t>
            </w:r>
          </w:p>
        </w:tc>
      </w:tr>
    </w:tbl>
    <w:bookmarkEnd w:id="31"/>
    <w:bookmarkStart w:id="39" w:name="règles-de-gestion-structurantes"/>
    <w:p>
      <w:pPr>
        <w:pStyle w:val="Titre2"/>
      </w:pPr>
      <w:r>
        <w:t xml:space="preserve">Règles de gestion structurantes</w:t>
      </w:r>
    </w:p>
    <w:bookmarkStart w:id="32" w:name="X3c70216ddbfcb3039e58e4ca0d0802b71a51c7e"/>
    <w:p>
      <w:pPr>
        <w:pStyle w:val="Titre3"/>
      </w:pPr>
      <w:r>
        <w:t xml:space="preserve">Le parsing est un point d’extension, jamais un branchement</w:t>
      </w:r>
    </w:p>
    <w:p>
      <w:pPr>
        <w:pStyle w:val="FirstParagraph"/>
      </w:pPr>
      <w:r>
        <w:t xml:space="preserve">Chaque type d’application a son format de log. Traiter cette variabilité par des conditions</w:t>
      </w:r>
      <w:r>
        <w:t xml:space="preserve"> </w:t>
      </w:r>
      <w:r>
        <w:t xml:space="preserve">dispersées dans le code métier (</w:t>
      </w:r>
      <w:r>
        <w:rPr>
          <w:rStyle w:val="VerbatimChar"/>
        </w:rPr>
        <w:t xml:space="preserve">if (type === 'spring-boot') …</w:t>
      </w:r>
      <w:r>
        <w:t xml:space="preserve">) aurait rendu l’ajout d’un</w:t>
      </w:r>
      <w:r>
        <w:t xml:space="preserve"> </w:t>
      </w:r>
      <w:r>
        <w:t xml:space="preserve">onzième type impossible sans relire l’ensemble.</w:t>
      </w:r>
    </w:p>
    <w:p>
      <w:pPr>
        <w:pStyle w:val="Corpsdetexte"/>
      </w:pPr>
      <w:r>
        <w:t xml:space="preserve">Le parsing passe donc par une interface et un</w:t>
      </w:r>
      <w:r>
        <w:t xml:space="preserve"> </w:t>
      </w:r>
      <w:r>
        <w:rPr>
          <w:b/>
          <w:bCs/>
        </w:rPr>
        <w:t xml:space="preserve">registre</w:t>
      </w:r>
      <w:r>
        <w:t xml:space="preserve"> </w:t>
      </w:r>
      <w:r>
        <w:t xml:space="preserve">: six parseurs sont enregistrés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spring-boot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java-simple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nodejs-pm2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react-nginx</w:t>
      </w:r>
      <w:r>
        <w:t xml:space="preserve">, plus un parseur</w:t>
      </w:r>
      <w:r>
        <w:t xml:space="preserve"> </w:t>
      </w:r>
      <w:r>
        <w:t xml:space="preserve">générique de repli). Ajouter un type consiste à écrire un parseur et à l’enregistrer ; aucun code</w:t>
      </w:r>
      <w:r>
        <w:t xml:space="preserve"> </w:t>
      </w:r>
      <w:r>
        <w:t xml:space="preserve">existant n’est modifié.</w:t>
      </w:r>
    </w:p>
    <w:p>
      <w:pPr>
        <w:pStyle w:val="Corpsdetexte"/>
      </w:pPr>
      <w:r>
        <w:t xml:space="preserve">Le parseur générique n’est pas un pis-aller : il garantit qu’une application dont le format n’est</w:t>
      </w:r>
      <w:r>
        <w:t xml:space="preserve"> </w:t>
      </w:r>
      <w:r>
        <w:t xml:space="preserve">pas encore reconnu remonte tout de même ses lignes, avec un niveau déduit au mieux. Mieux vaut une</w:t>
      </w:r>
      <w:r>
        <w:t xml:space="preserve"> </w:t>
      </w:r>
      <w:r>
        <w:t xml:space="preserve">supervision approximative qu’une application invisible.</w:t>
      </w:r>
    </w:p>
    <w:bookmarkEnd w:id="32"/>
    <w:bookmarkStart w:id="33" w:name="X8d73eee69356d6400d8ba087a86f44d234128aa"/>
    <w:p>
      <w:pPr>
        <w:pStyle w:val="Titre3"/>
      </w:pPr>
      <w:r>
        <w:t xml:space="preserve">Configuration globale et configuration par application : deux entités, jamais un repli</w:t>
      </w:r>
    </w:p>
    <w:p>
      <w:pPr>
        <w:pStyle w:val="FirstParagraph"/>
      </w:pPr>
      <w:r>
        <w:t xml:space="preserve">La configuration d’affichage (couleurs par niveau de log) et les canaux d’alerte existent à deux</w:t>
      </w:r>
      <w:r>
        <w:t xml:space="preserve"> </w:t>
      </w:r>
      <w:r>
        <w:t xml:space="preserve">échelles : une configuration globale, et une configuration par application.</w:t>
      </w:r>
    </w:p>
    <w:p>
      <w:pPr>
        <w:pStyle w:val="Corpsdetexte"/>
      </w:pPr>
      <w:r>
        <w:t xml:space="preserve">La relation entre les deux est une</w:t>
      </w:r>
      <w:r>
        <w:t xml:space="preserve"> </w:t>
      </w:r>
      <w:r>
        <w:rPr>
          <w:b/>
          <w:bCs/>
        </w:rPr>
        <w:t xml:space="preserve">copie explicite</w:t>
      </w:r>
      <w:r>
        <w:t xml:space="preserve">, jamais une lecture en cascade. À la</w:t>
      </w:r>
      <w:r>
        <w:t xml:space="preserve"> </w:t>
      </w:r>
      <w:r>
        <w:t xml:space="preserve">création d’une application, sa configuration est recopiée depuis la configuration globale ; le</w:t>
      </w:r>
      <w:r>
        <w:t xml:space="preserve"> </w:t>
      </w:r>
      <w:r>
        <w:t xml:space="preserve">bouton « généraliser » recopie à nouveau, vers les applications choisies.</w:t>
      </w:r>
    </w:p>
    <w:p>
      <w:pPr>
        <w:pStyle w:val="Corpsdetexte"/>
      </w:pPr>
      <w:r>
        <w:t xml:space="preserve">L’alternative — lire la valeur de l’application, et se rabattre sur la globale si elle est absente</w:t>
      </w:r>
      <w:r>
        <w:t xml:space="preserve"> </w:t>
      </w:r>
      <w:r>
        <w:t xml:space="preserve">— paraissait plus économe. Elle a été écartée : elle rend impossible de distinguer « cette</w:t>
      </w:r>
      <w:r>
        <w:t xml:space="preserve"> </w:t>
      </w:r>
      <w:r>
        <w:t xml:space="preserve">application utilise volontairement la couleur par défaut » de « cette application n’a pas été</w:t>
      </w:r>
      <w:r>
        <w:t xml:space="preserve"> </w:t>
      </w:r>
      <w:r>
        <w:t xml:space="preserve">configurée », et fait changer l’affichage d’applications qu’on ne touchait pas lorsqu’on modifie</w:t>
      </w:r>
      <w:r>
        <w:t xml:space="preserve"> </w:t>
      </w:r>
      <w:r>
        <w:t xml:space="preserve">le réglage global.</w:t>
      </w:r>
    </w:p>
    <w:bookmarkEnd w:id="33"/>
    <w:bookmarkStart w:id="34" w:name="détection-du-silence"/>
    <w:p>
      <w:pPr>
        <w:pStyle w:val="Titre3"/>
      </w:pPr>
      <w:r>
        <w:t xml:space="preserve">Détection du silence</w:t>
      </w:r>
    </w:p>
    <w:p>
      <w:pPr>
        <w:pStyle w:val="FirstParagraph"/>
      </w:pPr>
      <w:r>
        <w:t xml:space="preserve">Une application qui cesse d’émettre ne produit aucune erreur : elle disparaît, simplement. Sans</w:t>
      </w:r>
      <w:r>
        <w:t xml:space="preserve"> </w:t>
      </w:r>
      <w:r>
        <w:t xml:space="preserve">traitement particulier, son tableau de bord resterait vert.</w:t>
      </w:r>
    </w:p>
    <w:p>
      <w:pPr>
        <w:pStyle w:val="Corpsdetexte"/>
      </w:pPr>
      <w:r>
        <w:t xml:space="preserve">Deux règles couvrent ce cas, créées automatiquement et non pas laissées à l’initiative de</w:t>
      </w:r>
      <w:r>
        <w:t xml:space="preserve"> </w:t>
      </w:r>
      <w:r>
        <w:t xml:space="preserve">l’administrateur 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silence</w:t>
      </w:r>
      <w:r>
        <w:t xml:space="preserve"> </w:t>
      </w:r>
      <w:r>
        <w:t xml:space="preserve">— aucun log reçu depuis un délai donné 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service-silence</w:t>
      </w:r>
      <w:r>
        <w:t xml:space="preserve"> </w:t>
      </w:r>
      <w:r>
        <w:t xml:space="preserve">— aucune vérification d’état reçue pour un service surveillé.</w:t>
      </w:r>
    </w:p>
    <w:p>
      <w:pPr>
        <w:pStyle w:val="FirstParagraph"/>
      </w:pPr>
      <w:r>
        <w:t xml:space="preserve">La seconde va de pair avec</w:t>
      </w:r>
      <w:r>
        <w:t xml:space="preserve"> </w:t>
      </w:r>
      <w:r>
        <w:rPr>
          <w:rStyle w:val="VerbatimChar"/>
        </w:rPr>
        <w:t xml:space="preserve">service-status</w:t>
      </w:r>
      <w:r>
        <w:t xml:space="preserve"> </w:t>
      </w:r>
      <w:r>
        <w:t xml:space="preserve">: déclarer un service à surveiller crée</w:t>
      </w:r>
      <w:r>
        <w:t xml:space="preserve"> </w:t>
      </w:r>
      <w:r>
        <w:rPr>
          <w:b/>
          <w:bCs/>
        </w:rPr>
        <w:t xml:space="preserve">immédiatement</w:t>
      </w:r>
      <w:r>
        <w:t xml:space="preserve"> </w:t>
      </w:r>
      <w:r>
        <w:t xml:space="preserve">ses deux règles. Sans</w:t>
      </w:r>
      <w:r>
        <w:t xml:space="preserve"> </w:t>
      </w:r>
      <w:r>
        <w:rPr>
          <w:rStyle w:val="VerbatimChar"/>
        </w:rPr>
        <w:t xml:space="preserve">service-silence</w:t>
      </w:r>
      <w:r>
        <w:t xml:space="preserve">, un agent qui cesse d’envoyer ses</w:t>
      </w:r>
      <w:r>
        <w:t xml:space="preserve"> </w:t>
      </w:r>
      <w:r>
        <w:t xml:space="preserve">vérifications laisserait le service affiché dans son dernier état connu — vert, très probablement</w:t>
      </w:r>
      <w:r>
        <w:t xml:space="preserve"> </w:t>
      </w:r>
      <w:r>
        <w:t xml:space="preserve">— alors que plus personne ne le surveille.</w:t>
      </w:r>
    </w:p>
    <w:bookmarkEnd w:id="34"/>
    <w:bookmarkStart w:id="35" w:name="état-agrégé-dune-application"/>
    <w:p>
      <w:pPr>
        <w:pStyle w:val="Titre3"/>
      </w:pPr>
      <w:r>
        <w:t xml:space="preserve">État agrégé d’une application</w:t>
      </w:r>
    </w:p>
    <w:p>
      <w:pPr>
        <w:pStyle w:val="FirstParagraph"/>
      </w:pPr>
      <w:r>
        <w:t xml:space="preserve">Le badge d’une application vaut</w:t>
      </w:r>
      <w:r>
        <w:t xml:space="preserve"> </w:t>
      </w:r>
      <w:r>
        <w:rPr>
          <w:rStyle w:val="VerbatimChar"/>
        </w:rPr>
        <w:t xml:space="preserve">critique</w:t>
      </w:r>
      <w:r>
        <w:t xml:space="preserve"> </w:t>
      </w:r>
      <w:r>
        <w:t xml:space="preserve">dès qu’une alerte critique est active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qu’un</w:t>
      </w:r>
      <w:r>
        <w:t xml:space="preserve"> </w:t>
      </w:r>
      <w:r>
        <w:t xml:space="preserve">service déclaré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est tombé ;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s’il n’existe que des alertes de moindre</w:t>
      </w:r>
      <w:r>
        <w:t xml:space="preserve"> </w:t>
      </w:r>
      <w:r>
        <w:t xml:space="preserve">gravité 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sinon.</w:t>
      </w:r>
    </w:p>
    <w:p>
      <w:pPr>
        <w:pStyle w:val="Corpsdetexte"/>
      </w:pPr>
      <w:r>
        <w:t xml:space="preserve">La nuance porte sur le caractère critique du service : un service non critique qui tombe alerte</w:t>
      </w:r>
      <w:r>
        <w:t xml:space="preserve"> </w:t>
      </w:r>
      <w:r>
        <w:t xml:space="preserve">bien, mais ne fait pas basculer le badge de l’application. Sans cette distinction, un service</w:t>
      </w:r>
      <w:r>
        <w:t xml:space="preserve"> </w:t>
      </w:r>
      <w:r>
        <w:t xml:space="preserve">accessoire aurait fait passer au rouge une application par ailleurs parfaitement saine — et le</w:t>
      </w:r>
      <w:r>
        <w:t xml:space="preserve"> </w:t>
      </w:r>
      <w:r>
        <w:t xml:space="preserve">rouge aurait cessé d’être lu.</w:t>
      </w:r>
    </w:p>
    <w:bookmarkEnd w:id="35"/>
    <w:bookmarkStart w:id="36" w:name="X22757630e90f4a6214a5a623918511dc960509f"/>
    <w:p>
      <w:pPr>
        <w:pStyle w:val="Titre3"/>
      </w:pPr>
      <w:r>
        <w:t xml:space="preserve">Anti-spam : le premier déclenchement alerte, les suivants sont regroupés</w:t>
      </w:r>
    </w:p>
    <w:p>
      <w:pPr>
        <w:pStyle w:val="FirstParagraph"/>
      </w:pPr>
      <w:r>
        <w:t xml:space="preserve">Une application qui produit mille erreurs par minute enverrait mille SMS. Chaque règle porte donc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cooldown</w:t>
      </w:r>
      <w:r>
        <w:t xml:space="preserve"> </w:t>
      </w:r>
      <w:r>
        <w:t xml:space="preserve">: après une notification, les redéclenchements sont regroupés jusqu’à expiration</w:t>
      </w:r>
      <w:r>
        <w:t xml:space="preserve"> </w:t>
      </w:r>
      <w:r>
        <w:t xml:space="preserve">du délai.</w:t>
      </w:r>
    </w:p>
    <w:p>
      <w:pPr>
        <w:pStyle w:val="Corpsdetexte"/>
      </w:pPr>
      <w:r>
        <w:t xml:space="preserve">S’y ajoutent les</w:t>
      </w:r>
      <w:r>
        <w:t xml:space="preserve"> </w:t>
      </w:r>
      <w:r>
        <w:rPr>
          <w:b/>
          <w:bCs/>
        </w:rPr>
        <w:t xml:space="preserve">heures creuses</w:t>
      </w:r>
      <w:r>
        <w:t xml:space="preserve">, configurables par application : une plage horaire pendant</w:t>
      </w:r>
      <w:r>
        <w:t xml:space="preserve"> </w:t>
      </w:r>
      <w:r>
        <w:t xml:space="preserve">laquelle certains canaux sont suspendus. Une alerte survenue à trois heures du matin reste</w:t>
      </w:r>
      <w:r>
        <w:t xml:space="preserve"> </w:t>
      </w:r>
      <w:r>
        <w:t xml:space="preserve">enregistrée et visible — elle n’est simplement pas envoyée par SMS.</w:t>
      </w:r>
    </w:p>
    <w:p>
      <w:pPr>
        <w:pStyle w:val="Corpsdetexte"/>
      </w:pPr>
      <w:r>
        <w:t xml:space="preserve">Une alerte résolue est diffusée sans son ni SMS : rassurer ne doit pas coûter une seconde</w:t>
      </w:r>
      <w:r>
        <w:t xml:space="preserve"> </w:t>
      </w:r>
      <w:r>
        <w:t xml:space="preserve">interruption.</w:t>
      </w:r>
    </w:p>
    <w:bookmarkEnd w:id="36"/>
    <w:bookmarkStart w:id="37" w:name="Xa255779fc3442a4f5ec978d5a3124990e30e7fd"/>
    <w:p>
      <w:pPr>
        <w:pStyle w:val="Titre3"/>
      </w:pPr>
      <w:r>
        <w:t xml:space="preserve">Masquage des données sensibles, avant persistance</w:t>
      </w:r>
    </w:p>
    <w:p>
      <w:pPr>
        <w:pStyle w:val="FirstParagraph"/>
      </w:pPr>
      <w:r>
        <w:t xml:space="preserve">Les logs d’une production monétique peuvent contenir des numéros de carte. Ils sont masqués</w:t>
      </w:r>
      <w:r>
        <w:t xml:space="preserve"> </w:t>
      </w:r>
      <w:r>
        <w:rPr>
          <w:b/>
          <w:bCs/>
        </w:rPr>
        <w:t xml:space="preserve">avant écriture</w:t>
      </w:r>
      <w:r>
        <w:t xml:space="preserve">, et non à l’affichage.</w:t>
      </w:r>
    </w:p>
    <w:p>
      <w:pPr>
        <w:pStyle w:val="Corpsdetexte"/>
      </w:pPr>
      <w:r>
        <w:t xml:space="preserve">Ce n’est pas un détail d’implémentation : une donnée écrite en clair le reste dans les</w:t>
      </w:r>
      <w:r>
        <w:t xml:space="preserve"> </w:t>
      </w:r>
      <w:r>
        <w:t xml:space="preserve">sauvegardes, dans les réplicas, et dans tout export ultérieur. Masquer à l’affichage aurait donné</w:t>
      </w:r>
      <w:r>
        <w:t xml:space="preserve"> </w:t>
      </w:r>
      <w:r>
        <w:t xml:space="preserve">l’apparence de la conformité sans la protection.</w:t>
      </w:r>
    </w:p>
    <w:bookmarkEnd w:id="37"/>
    <w:bookmarkStart w:id="38" w:name="Xdf0daa9d182961e03ba1bd33adc8aed58520fc4"/>
    <w:p>
      <w:pPr>
        <w:pStyle w:val="Titre3"/>
      </w:pPr>
      <w:r>
        <w:t xml:space="preserve">Rétention : purger sans effacer ce qui alerte</w:t>
      </w:r>
    </w:p>
    <w:p>
      <w:pPr>
        <w:pStyle w:val="FirstParagraph"/>
      </w:pPr>
      <w:r>
        <w:t xml:space="preserve">Les logs sont volumineux et perdent vite leur intérêt ; les alertes résolues sont peu volumineuses</w:t>
      </w:r>
      <w:r>
        <w:t xml:space="preserve"> </w:t>
      </w:r>
      <w:r>
        <w:t xml:space="preserve">et servent au bilan annuel. Les durées de conservation sont donc distinctes et configurables.</w:t>
      </w:r>
    </w:p>
    <w:p>
      <w:pPr>
        <w:pStyle w:val="Corpsdetexte"/>
      </w:pPr>
      <w:r>
        <w:t xml:space="preserve">La purge ne supprime jamais 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, quel que soit son âge. Une alerte ouverte depuis</w:t>
      </w:r>
      <w:r>
        <w:t xml:space="preserve"> </w:t>
      </w:r>
      <w:r>
        <w:t xml:space="preserve">quatre-cents jours signale un problème que personne n’a traité : c’est précisément celle qu’il ne</w:t>
      </w:r>
      <w:r>
        <w:t xml:space="preserve"> </w:t>
      </w:r>
      <w:r>
        <w:t xml:space="preserve">faut pas faire disparaître.</w:t>
      </w:r>
    </w:p>
    <w:bookmarkEnd w:id="38"/>
    <w:bookmarkEnd w:id="39"/>
    <w:bookmarkEnd w:id="40"/>
    <w:bookmarkStart w:id="53" w:name="modèle-de-données"/>
    <w:p>
      <w:pPr>
        <w:pStyle w:val="Titre1"/>
      </w:pPr>
      <w:r>
        <w:t xml:space="preserve">Modèle de données</w:t>
      </w:r>
    </w:p>
    <w:bookmarkStart w:id="44" w:name="vue-densemble"/>
    <w:p>
      <w:pPr>
        <w:pStyle w:val="Titre2"/>
      </w:pPr>
      <w:r>
        <w:t xml:space="preserve">Vue d’ensemble</w:t>
      </w:r>
    </w:p>
    <w:p>
      <w:pPr>
        <w:pStyle w:val="FirstParagraph"/>
      </w:pPr>
      <w:r>
        <w:t xml:space="preserve">Le schéma s’organise en cinq ensembles : le</w:t>
      </w:r>
      <w:r>
        <w:t xml:space="preserve"> </w:t>
      </w:r>
      <w:r>
        <w:rPr>
          <w:b/>
          <w:bCs/>
        </w:rPr>
        <w:t xml:space="preserve">parc supervisé</w:t>
      </w:r>
      <w:r>
        <w:t xml:space="preserve">, les</w:t>
      </w:r>
      <w:r>
        <w:t xml:space="preserve"> </w:t>
      </w:r>
      <w:r>
        <w:rPr>
          <w:b/>
          <w:bCs/>
        </w:rPr>
        <w:t xml:space="preserve">logs</w:t>
      </w:r>
      <w:r>
        <w:t xml:space="preserve">, l’</w:t>
      </w:r>
      <w:r>
        <w:rPr>
          <w:b/>
          <w:bCs/>
        </w:rPr>
        <w:t xml:space="preserve">alerting</w:t>
      </w:r>
      <w:r>
        <w:t xml:space="preserve">, la</w:t>
      </w:r>
      <w: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utilisateurs</w:t>
      </w:r>
      <w:r>
        <w:t xml:space="preserve">.</w:t>
      </w:r>
    </w:p>
    <w:p>
      <w:pPr>
        <w:pStyle w:val="CaptionedFigure"/>
      </w:pPr>
      <w:r>
        <w:drawing>
          <wp:inline>
            <wp:extent cx="5753100" cy="2407882"/>
            <wp:effectExtent b="0" l="0" r="0" t="0"/>
            <wp:docPr descr="Vue d’ensemble du modèle de données" title="" id="42" name="Picture"/>
            <a:graphic>
              <a:graphicData uri="http://schemas.openxmlformats.org/drawingml/2006/picture">
                <pic:pic>
                  <pic:nvPicPr>
                    <pic:cNvPr descr="diagrammes/02-modele-donne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07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Vue d’ensemble du modèle de données</w:t>
      </w:r>
    </w:p>
    <w:bookmarkEnd w:id="44"/>
    <w:bookmarkStart w:id="48" w:name="parc-supervisé-et-logs"/>
    <w:p>
      <w:pPr>
        <w:pStyle w:val="Titre2"/>
      </w:pPr>
      <w:r>
        <w:t xml:space="preserve">Parc supervisé et logs</w:t>
      </w:r>
    </w:p>
    <w:p>
      <w:pPr>
        <w:pStyle w:val="CaptionedFigure"/>
      </w:pPr>
      <w:r>
        <w:drawing>
          <wp:inline>
            <wp:extent cx="5753100" cy="7898486"/>
            <wp:effectExtent b="0" l="0" r="0" t="0"/>
            <wp:docPr descr="Modèle de données du parc supervisé" title="" id="46" name="Picture"/>
            <a:graphic>
              <a:graphicData uri="http://schemas.openxmlformats.org/drawingml/2006/picture">
                <pic:pic>
                  <pic:nvPicPr>
                    <pic:cNvPr descr="diagrammes/03-modele-supervis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89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Modèle de données du parc supervisé</w:t>
      </w:r>
    </w:p>
    <w:p>
      <w:pPr>
        <w:pStyle w:val="Corpsdetexte"/>
      </w:pPr>
      <w:r>
        <w:t xml:space="preserve">Une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est rattachée à un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et porte le chemin du fichier de logs suivi. La</w:t>
      </w:r>
      <w:r>
        <w:t xml:space="preserve"> </w:t>
      </w:r>
      <w:r>
        <w:t xml:space="preserve">relation vers le serveur est en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: supprimer un serveur qui héberge encore des</w:t>
      </w:r>
      <w:r>
        <w:t xml:space="preserve"> </w:t>
      </w:r>
      <w:r>
        <w:t xml:space="preserve">applications est refusé, plutôt que de les emporter silencieusement.</w:t>
      </w:r>
    </w:p>
    <w:p>
      <w:pPr>
        <w:pStyle w:val="Corpsdetexte"/>
      </w:pPr>
      <w:r>
        <w:rPr>
          <w:rStyle w:val="VerbatimChar"/>
        </w:rPr>
        <w:t xml:space="preserve">IngestionAgentToken</w:t>
      </w:r>
      <w:r>
        <w:t xml:space="preserve"> </w:t>
      </w:r>
      <w:r>
        <w:t xml:space="preserve">mérite une attention particulière. Le token est rattaché à</w:t>
      </w:r>
      <w:r>
        <w:t xml:space="preserve"> </w:t>
      </w:r>
      <w:r>
        <w:t xml:space="preserve">l’</w:t>
      </w:r>
      <w:r>
        <w:rPr>
          <w:b/>
          <w:bCs/>
        </w:rPr>
        <w:t xml:space="preserve">application</w:t>
      </w:r>
      <w:r>
        <w:t xml:space="preserve">, et pas seulement au serveur : plusieurs applications cohabitent sur une même</w:t>
      </w:r>
      <w:r>
        <w:t xml:space="preserve"> </w:t>
      </w:r>
      <w:r>
        <w:t xml:space="preserve">machine — filemanager et planning backoffice, par exemple — et un token compromis ne doit pas</w:t>
      </w:r>
      <w:r>
        <w:t xml:space="preserve"> </w:t>
      </w:r>
      <w:r>
        <w:t xml:space="preserve">permettre d’injecter des logs dans l’application voisine. Seule l’</w:t>
      </w:r>
      <w:r>
        <w:rPr>
          <w:b/>
          <w:bCs/>
        </w:rPr>
        <w:t xml:space="preserve">empreinte</w:t>
      </w:r>
      <w:r>
        <w:t xml:space="preserve"> </w:t>
      </w:r>
      <w:r>
        <w:t xml:space="preserve">du token est</w:t>
      </w:r>
      <w:r>
        <w:t xml:space="preserve"> </w:t>
      </w:r>
      <w:r>
        <w:t xml:space="preserve">stockée ; sa valeur n’est affichée qu’une fois, à l’émission, et n’est plus jamais consultable.</w:t>
      </w:r>
    </w:p>
    <w:p>
      <w:pPr>
        <w:pStyle w:val="Corpsdetexte"/>
      </w:pPr>
      <w:r>
        <w:rPr>
          <w:rStyle w:val="VerbatimChar"/>
        </w:rPr>
        <w:t xml:space="preserve">MonitoredService</w:t>
      </w:r>
      <w:r>
        <w:t xml:space="preserve"> </w:t>
      </w:r>
      <w:r>
        <w:t xml:space="preserve">porte l’état courant (</w:t>
      </w:r>
      <w:r>
        <w:rPr>
          <w:rStyle w:val="VerbatimChar"/>
        </w:rPr>
        <w:t xml:space="preserve">lastState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lastCheckedAt</w:t>
      </w:r>
      <w:r>
        <w:t xml:space="preserve">), mis à jour à</w:t>
      </w:r>
      <w:r>
        <w:t xml:space="preserve"> </w:t>
      </w:r>
      <w:r>
        <w:rPr>
          <w:b/>
          <w:bCs/>
        </w:rPr>
        <w:t xml:space="preserve">chaque</w:t>
      </w:r>
      <w:r>
        <w:t xml:space="preserve"> </w:t>
      </w:r>
      <w:r>
        <w:t xml:space="preserve">vérification — c’est ce qui permet de détecter un silence.</w:t>
      </w:r>
      <w:r>
        <w:t xml:space="preserve"> </w:t>
      </w:r>
      <w:r>
        <w:rPr>
          <w:rStyle w:val="VerbatimChar"/>
        </w:rPr>
        <w:t xml:space="preserve">ServiceStatusEvent</w:t>
      </w:r>
      <w:r>
        <w:t xml:space="preserve">, en revanche,</w:t>
      </w:r>
      <w:r>
        <w:t xml:space="preserve"> </w:t>
      </w:r>
      <w:r>
        <w:t xml:space="preserve">n’est écrit que sur</w:t>
      </w:r>
      <w:r>
        <w:t xml:space="preserve"> </w:t>
      </w:r>
      <w:r>
        <w:rPr>
          <w:b/>
          <w:bCs/>
        </w:rPr>
        <w:t xml:space="preserve">transition</w:t>
      </w:r>
      <w:r>
        <w:t xml:space="preserve"> </w:t>
      </w:r>
      <w:r>
        <w:t xml:space="preserve">: à une vérification toutes les trente secondes, journaliser</w:t>
      </w:r>
      <w:r>
        <w:t xml:space="preserve"> </w:t>
      </w:r>
      <w:r>
        <w:t xml:space="preserve">chaque contrôle remplirait la table sans rien apprendre.</w:t>
      </w:r>
    </w:p>
    <w:bookmarkEnd w:id="48"/>
    <w:bookmarkStart w:id="52" w:name="alerting-configuration-et-utilisateurs"/>
    <w:p>
      <w:pPr>
        <w:pStyle w:val="Titre2"/>
      </w:pPr>
      <w:r>
        <w:t xml:space="preserve">Alerting, configuration et utilisateurs</w:t>
      </w:r>
    </w:p>
    <w:p>
      <w:pPr>
        <w:pStyle w:val="CaptionedFigure"/>
      </w:pPr>
      <w:r>
        <w:drawing>
          <wp:inline>
            <wp:extent cx="5753100" cy="2083427"/>
            <wp:effectExtent b="0" l="0" r="0" t="0"/>
            <wp:docPr descr="Modèle de données de l’alerting" title="" id="50" name="Picture"/>
            <a:graphic>
              <a:graphicData uri="http://schemas.openxmlformats.org/drawingml/2006/picture">
                <pic:pic>
                  <pic:nvPicPr>
                    <pic:cNvPr descr="diagrammes/04-modele-alertin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8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Modèle de données de l’alerting</w:t>
      </w:r>
    </w:p>
    <w:p>
      <w:pPr>
        <w:pStyle w:val="Corpsdetexte"/>
      </w:pPr>
      <w:r>
        <w:t xml:space="preserve">La relation entre</w:t>
      </w:r>
      <w:r>
        <w:t xml:space="preserve"> </w:t>
      </w:r>
      <w:r>
        <w:rPr>
          <w:rStyle w:val="VerbatimChar"/>
        </w:rPr>
        <w:t xml:space="preserve">AnalyzerRule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AlertEvent</w:t>
      </w:r>
      <w:r>
        <w:t xml:space="preserve"> </w:t>
      </w:r>
      <w:r>
        <w:t xml:space="preserve">est en</w:t>
      </w:r>
      <w:r>
        <w:t xml:space="preserve"> </w:t>
      </w:r>
      <w:r>
        <w:rPr>
          <w:rStyle w:val="VerbatimChar"/>
        </w:rPr>
        <w:t xml:space="preserve">SetNull</w:t>
      </w:r>
      <w:r>
        <w:t xml:space="preserve"> </w:t>
      </w:r>
      <w:r>
        <w:t xml:space="preserve">: supprimer une règle met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sur les alertes qu’elle a produites, mais ne les efface pas. L’historique de ce</w:t>
      </w:r>
      <w:r>
        <w:t xml:space="preserve"> </w:t>
      </w:r>
      <w:r>
        <w:t xml:space="preserve">qui s’est passé ne doit pas dépendre de la survie de la règle qui l’a détecté.</w:t>
      </w:r>
    </w:p>
    <w:p>
      <w:pPr>
        <w:pStyle w:val="Corpsdetexte"/>
      </w:pPr>
      <w:r>
        <w:rPr>
          <w:rStyle w:val="VerbatimChar"/>
        </w:rPr>
        <w:t xml:space="preserve">GlobalConfig</w:t>
      </w:r>
      <w:r>
        <w:t xml:space="preserve"> </w:t>
      </w:r>
      <w:r>
        <w:t xml:space="preserve">est une ligne unique (</w:t>
      </w:r>
      <w:r>
        <w:rPr>
          <w:rStyle w:val="VerbatimChar"/>
        </w:rPr>
        <w:t xml:space="preserve">id = "singleton"</w:t>
      </w:r>
      <w:r>
        <w:t xml:space="preserve">) et n’a</w:t>
      </w:r>
      <w:r>
        <w:t xml:space="preserve"> </w:t>
      </w:r>
      <w:r>
        <w:rPr>
          <w:b/>
          <w:bCs/>
        </w:rPr>
        <w:t xml:space="preserve">aucune relation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AppConfig</w:t>
      </w:r>
      <w:r>
        <w:t xml:space="preserve"> </w:t>
      </w:r>
      <w:r>
        <w:t xml:space="preserve">: c’est la traduction en base du principe de copie explicite énoncé plus haut.</w:t>
      </w:r>
    </w:p>
    <w:p>
      <w:pPr>
        <w:pStyle w:val="Corpsdetexte"/>
      </w:pPr>
      <w:r>
        <w:t xml:space="preserve">La table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est isolée : aucune clé étrangère vers le reste du modèle. Les colonnes d’audit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) portent un identifiant, pas une référence. Un compte retiré ne doit pas</w:t>
      </w:r>
      <w:r>
        <w:t xml:space="preserve"> </w:t>
      </w:r>
      <w:r>
        <w:t xml:space="preserve">emporter l’historique qu’il a produit.</w:t>
      </w:r>
    </w:p>
    <w:p>
      <w:pPr>
        <w:pStyle w:val="Corpsdetexte"/>
      </w:pPr>
      <w:r>
        <w:rPr>
          <w:b/>
          <w:bCs/>
        </w:rPr>
        <w:t xml:space="preserve">Aucun mot de passe n’est stocké</w:t>
      </w:r>
      <w:r>
        <w:t xml:space="preserve">, sous aucune forme. La base conserve l’identité applicative, le</w:t>
      </w:r>
      <w:r>
        <w:t xml:space="preserve"> </w:t>
      </w:r>
      <w:r>
        <w:t xml:space="preserve">rôle, l’état d’activation et la date de dernière connexion.</w:t>
      </w:r>
    </w:p>
    <w:bookmarkEnd w:id="52"/>
    <w:bookmarkEnd w:id="53"/>
    <w:bookmarkStart w:id="80" w:name="conception-technique"/>
    <w:p>
      <w:pPr>
        <w:pStyle w:val="Titre1"/>
      </w:pPr>
      <w:r>
        <w:t xml:space="preserve">Conception technique</w:t>
      </w:r>
    </w:p>
    <w:bookmarkStart w:id="57" w:name="vue-densemble-1"/>
    <w:p>
      <w:pPr>
        <w:pStyle w:val="Titre2"/>
      </w:pPr>
      <w:r>
        <w:t xml:space="preserve">Vue d’ensemble</w:t>
      </w:r>
    </w:p>
    <w:p>
      <w:pPr>
        <w:pStyle w:val="CaptionedFigure"/>
      </w:pPr>
      <w:r>
        <w:drawing>
          <wp:inline>
            <wp:extent cx="5753100" cy="4325639"/>
            <wp:effectExtent b="0" l="0" r="0" t="0"/>
            <wp:docPr descr="Vue d’ensemble de l’architecture" title="" id="55" name="Picture"/>
            <a:graphic>
              <a:graphicData uri="http://schemas.openxmlformats.org/drawingml/2006/picture">
                <pic:pic>
                  <pic:nvPicPr>
                    <pic:cNvPr descr="diagrammes/01-vue-ensembl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25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Vue d’ensemble de l’architecture</w:t>
      </w:r>
    </w:p>
    <w:p>
      <w:pPr>
        <w:pStyle w:val="Corpsdetexte"/>
      </w:pPr>
      <w:r>
        <w:t xml:space="preserve">Un agent Vector est installé sur chaque serveur applicatif : il suit le fichier de logs déclaré et</w:t>
      </w:r>
      <w:r>
        <w:t xml:space="preserve"> </w:t>
      </w:r>
      <w:r>
        <w:t xml:space="preserve">pousse les lignes vers le backend, en s’authentifiant par un token propre à l’application. Un</w:t>
      </w:r>
      <w:r>
        <w:t xml:space="preserve"> </w:t>
      </w:r>
      <w:r>
        <w:t xml:space="preserve">script compagnon remonte en parallèle l’état des services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 Le backend centralise, analyse</w:t>
      </w:r>
      <w:r>
        <w:t xml:space="preserve"> </w:t>
      </w:r>
      <w:r>
        <w:t xml:space="preserve">et diffuse ; l’interface consulte et affiche en temps réel.</w:t>
      </w:r>
    </w:p>
    <w:bookmarkEnd w:id="57"/>
    <w:bookmarkStart w:id="61" w:name="architecture-applicative"/>
    <w:p>
      <w:pPr>
        <w:pStyle w:val="Titre2"/>
      </w:pPr>
      <w:r>
        <w:t xml:space="preserve">Architecture applicative</w:t>
      </w:r>
    </w:p>
    <w:p>
      <w:pPr>
        <w:pStyle w:val="CaptionedFigure"/>
      </w:pPr>
      <w:r>
        <w:drawing>
          <wp:inline>
            <wp:extent cx="5753100" cy="5162716"/>
            <wp:effectExtent b="0" l="0" r="0" t="0"/>
            <wp:docPr descr="Architecture applicative" title="" id="59" name="Picture"/>
            <a:graphic>
              <a:graphicData uri="http://schemas.openxmlformats.org/drawingml/2006/picture">
                <pic:pic>
                  <pic:nvPicPr>
                    <pic:cNvPr descr="diagrammes/06-architecture-couche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6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applicative</w:t>
      </w:r>
    </w:p>
    <w:p>
      <w:pPr>
        <w:pStyle w:val="Corpsdetexte"/>
      </w:pPr>
      <w:r>
        <w:t xml:space="preserve">Le projet est un</w:t>
      </w:r>
      <w:r>
        <w:t xml:space="preserve"> </w:t>
      </w:r>
      <w:r>
        <w:rPr>
          <w:b/>
          <w:bCs/>
        </w:rPr>
        <w:t xml:space="preserve">monorepo</w:t>
      </w:r>
      <w:r>
        <w:t xml:space="preserve"> </w:t>
      </w:r>
      <w:r>
        <w:t xml:space="preserve">en espaces de travail npm, avec des références de projet TypeScript.</w:t>
      </w:r>
      <w:r>
        <w:t xml:space="preserve"> </w:t>
      </w:r>
      <w:r>
        <w:t xml:space="preserve">Les types partagés (</w:t>
      </w:r>
      <w:r>
        <w:rPr>
          <w:rStyle w:val="VerbatimChar"/>
        </w:rPr>
        <w:t xml:space="preserve">packages/shared-types</w:t>
      </w:r>
      <w:r>
        <w:t xml:space="preserve">) sont consommés par le backend qui valide les requêtes</w:t>
      </w:r>
      <w:r>
        <w:t xml:space="preserve"> </w:t>
      </w:r>
      <w:r>
        <w:t xml:space="preserve">et par le frontend qui les émet : un contrat ne peut pas diverger entre les deux côtés sans que le</w:t>
      </w:r>
      <w:r>
        <w:t xml:space="preserve"> </w:t>
      </w:r>
      <w:r>
        <w:t xml:space="preserve">compilateur le signale.</w:t>
      </w:r>
    </w:p>
    <w:p>
      <w:pPr>
        <w:pStyle w:val="Corpsdetexte"/>
      </w:pPr>
      <w:r>
        <w:t xml:space="preserve">Quatre points d’extension sont formalisés en</w:t>
      </w:r>
      <w:r>
        <w:t xml:space="preserve"> </w:t>
      </w:r>
      <w:r>
        <w:rPr>
          <w:b/>
          <w:bCs/>
        </w:rPr>
        <w:t xml:space="preserve">ports</w:t>
      </w:r>
      <w:r>
        <w:t xml:space="preserve">, chacun avec ses adaptateurs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isole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MySQL, OpenSearch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stockage des logs, volumineux et de nature différente du reste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LDAP, annuaire de développement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dépendance à l’Active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ParserRegistry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parseurs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variabilité des formats de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AnalyzerRegistry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analyseurs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règles de détection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courriel, SMS,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canaux de notification</w:t>
            </w:r>
          </w:p>
        </w:tc>
      </w:tr>
    </w:tbl>
    <w:p>
      <w:pPr>
        <w:pStyle w:val="Corpsdetexte"/>
      </w:pPr>
      <w:r>
        <w:t xml:space="preserve">Le port</w:t>
      </w:r>
      <w:r>
        <w:t xml:space="preserve"> </w:t>
      </w:r>
      <w:r>
        <w:rPr>
          <w:rStyle w:val="VerbatimChar"/>
        </w:rPr>
        <w:t xml:space="preserve">LogStore</w:t>
      </w:r>
      <w:r>
        <w:t xml:space="preserve"> </w:t>
      </w:r>
      <w:r>
        <w:t xml:space="preserve">a une justification propre : MySQL convient au développement et aux volumes</w:t>
      </w:r>
      <w:r>
        <w:t xml:space="preserve"> </w:t>
      </w:r>
      <w:r>
        <w:t xml:space="preserve">initiaux, mais pas au parc complet à moyen terme. Le faire passer par un port dès le début permet</w:t>
      </w:r>
      <w:r>
        <w:t xml:space="preserve"> </w:t>
      </w:r>
      <w:r>
        <w:t xml:space="preserve">de basculer sur OpenSearch par une variable d’environnement, sans reprendre le code métier.</w:t>
      </w:r>
    </w:p>
    <w:bookmarkEnd w:id="61"/>
    <w:bookmarkStart w:id="62" w:name="pile-technique"/>
    <w:p>
      <w:pPr>
        <w:pStyle w:val="Titre2"/>
      </w:pPr>
      <w:r>
        <w:t xml:space="preserve">Pile technique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strict, sur l’ensemble du dépôt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 11, architecture modulaire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Persistance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Prisma 6, MySQL 8, migrations incrémentales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des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ou OpenSearch, derrière le port</w:t>
            </w:r>
            <w:r>
              <w:t xml:space="preserve"> </w:t>
            </w:r>
            <w:r>
              <w:rPr>
                <w:rStyle w:val="VerbatimChar"/>
              </w:rPr>
              <w:t xml:space="preserve">LogStore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16 (App Router), React 19,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Temps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Socket.IO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Zod, schémas partagés backend/frontend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Agents de collecte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Vector, configuration déclarative TOML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Directory (LDAP), sessions par cookie signé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test runner et Jest, plus des scénarios de bout en bout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Validation par Zod plutôt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class-validator</w:t>
      </w:r>
      <w:r>
        <w:rPr>
          <w:b/>
          <w:bCs/>
        </w:rPr>
        <w:t xml:space="preserve">.</w:t>
      </w:r>
      <w:r>
        <w:t xml:space="preserve"> </w:t>
      </w:r>
      <w:r>
        <w:t xml:space="preserve">Le choix n’est pas cosmétique : Zod permet de</w:t>
      </w:r>
      <w:r>
        <w:t xml:space="preserve"> </w:t>
      </w:r>
      <w:r>
        <w:t xml:space="preserve">déclarer le schéma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d’en dériver le type TypeScript, dans le paquet partagé. Le frontend</w:t>
      </w:r>
      <w:r>
        <w:t xml:space="preserve"> </w:t>
      </w:r>
      <w:r>
        <w:t xml:space="preserve">manipule donc exactement le type que le backend valide. Avec</w:t>
      </w:r>
      <w:r>
        <w:t xml:space="preserve"> </w:t>
      </w:r>
      <w:r>
        <w:rPr>
          <w:rStyle w:val="VerbatimChar"/>
        </w:rPr>
        <w:t xml:space="preserve">class-validator</w:t>
      </w:r>
      <w:r>
        <w:t xml:space="preserve">, la validation</w:t>
      </w:r>
      <w:r>
        <w:t xml:space="preserve"> </w:t>
      </w:r>
      <w:r>
        <w:t xml:space="preserve">serait restée côté backend et le frontend aurait travaillé sur une définition parallèle, à</w:t>
      </w:r>
      <w:r>
        <w:t xml:space="preserve"> </w:t>
      </w:r>
      <w:r>
        <w:t xml:space="preserve">maintenir en cohérence à la main.</w:t>
      </w:r>
    </w:p>
    <w:p>
      <w:pPr>
        <w:pStyle w:val="Corpsdetexte"/>
      </w:pPr>
      <w:r>
        <w:rPr>
          <w:b/>
          <w:bCs/>
        </w:rPr>
        <w:t xml:space="preserve">Pas de Docker en développement.</w:t>
      </w:r>
      <w:r>
        <w:t xml:space="preserve"> </w:t>
      </w:r>
      <w:r>
        <w:t xml:space="preserve">Le poste de développement ne dispose pas des droits</w:t>
      </w:r>
      <w:r>
        <w:t xml:space="preserve"> </w:t>
      </w:r>
      <w:r>
        <w:t xml:space="preserve">d’administration. MySQL est lancé en installation autonome sur un port dédié, piloté par un script</w:t>
      </w:r>
      <w:r>
        <w:t xml:space="preserve"> </w:t>
      </w:r>
      <w:r>
        <w:t xml:space="preserve">du dépôt. Ce n’est pas un renoncement à la conteneurisation en production, mais la reconnaissance</w:t>
      </w:r>
      <w:r>
        <w:t xml:space="preserve"> </w:t>
      </w:r>
      <w:r>
        <w:t xml:space="preserve">qu’un environnement de développement doit fonctionner sur la machine dont on dispose.</w:t>
      </w:r>
    </w:p>
    <w:bookmarkEnd w:id="62"/>
    <w:bookmarkStart w:id="66" w:name="chaîne-dingestion"/>
    <w:p>
      <w:pPr>
        <w:pStyle w:val="Titre2"/>
      </w:pPr>
      <w:r>
        <w:t xml:space="preserve">Chaîne d’ingestion</w:t>
      </w:r>
    </w:p>
    <w:p>
      <w:pPr>
        <w:pStyle w:val="CaptionedFigure"/>
      </w:pPr>
      <w:r>
        <w:drawing>
          <wp:inline>
            <wp:extent cx="5399999" cy="3532589"/>
            <wp:effectExtent b="0" l="0" r="0" t="0"/>
            <wp:docPr descr="D’une ligne de log à une alerte" title="" id="64" name="Picture"/>
            <a:graphic>
              <a:graphicData uri="http://schemas.openxmlformats.org/drawingml/2006/picture">
                <pic:pic>
                  <pic:nvPicPr>
                    <pic:cNvPr descr="diagrammes/07-sequence-inges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53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D’une ligne de log à une alerte</w:t>
      </w:r>
    </w:p>
    <w:p>
      <w:pPr>
        <w:pStyle w:val="Corpsdetexte"/>
      </w:pPr>
      <w:r>
        <w:t xml:space="preserve">Le point de conception le plus notable est que</w:t>
      </w:r>
      <w:r>
        <w:t xml:space="preserve"> </w:t>
      </w:r>
      <w:r>
        <w:rPr>
          <w:b/>
          <w:bCs/>
        </w:rPr>
        <w:t xml:space="preserve">l’ingestion n’attend pas l’évaluation des</w:t>
      </w:r>
      <w:r>
        <w:rPr>
          <w:b/>
          <w:bCs/>
        </w:rPr>
        <w:t xml:space="preserve"> </w:t>
      </w:r>
      <w:r>
        <w:rPr>
          <w:b/>
          <w:bCs/>
        </w:rPr>
        <w:t xml:space="preserve">règles</w:t>
      </w:r>
      <w:r>
        <w:t xml:space="preserve">. L’agent reçoit sa réponse dès que les lignes sont écrites ; les analyseurs travaillent</w:t>
      </w:r>
      <w:r>
        <w:t xml:space="preserve"> </w:t>
      </w:r>
      <w:r>
        <w:t xml:space="preserve">ensuite. Un moteur de règles lent ou en erreur ne doit pas faire perdre des logs — l’inverse</w:t>
      </w:r>
      <w:r>
        <w:t xml:space="preserve"> </w:t>
      </w:r>
      <w:r>
        <w:t xml:space="preserve">reviendrait à perdre l’information au moment précis où elle compte.</w:t>
      </w:r>
    </w:p>
    <w:p>
      <w:pPr>
        <w:pStyle w:val="Corpsdetexte"/>
      </w:pPr>
      <w:r>
        <w:t xml:space="preserve">La limitation de débit sur l’ingestion est comptée</w:t>
      </w:r>
      <w:r>
        <w:t xml:space="preserve"> </w:t>
      </w:r>
      <w:r>
        <w:rPr>
          <w:b/>
          <w:bCs/>
        </w:rPr>
        <w:t xml:space="preserve">par agent</w:t>
      </w:r>
      <w:r>
        <w:t xml:space="preserve">, via l’empreinte du token</w:t>
      </w:r>
      <w:r>
        <w:t xml:space="preserve"> </w:t>
      </w:r>
      <w:r>
        <w:t xml:space="preserve">présenté, et non par adresse IP. Plusieurs applications partagent un même serveur : compter par IP</w:t>
      </w:r>
      <w:r>
        <w:t xml:space="preserve"> </w:t>
      </w:r>
      <w:r>
        <w:t xml:space="preserve">les aurait fait se brider mutuellement, jusqu’à faire perdre des logs à une application saine</w:t>
      </w:r>
      <w:r>
        <w:t xml:space="preserve"> </w:t>
      </w:r>
      <w:r>
        <w:t xml:space="preserve">parce qu’une voisine est bavarde.</w:t>
      </w:r>
    </w:p>
    <w:bookmarkEnd w:id="66"/>
    <w:bookmarkStart w:id="75" w:name="sécurité"/>
    <w:p>
      <w:pPr>
        <w:pStyle w:val="Titre2"/>
      </w:pPr>
      <w:r>
        <w:t xml:space="preserve">Sécurité</w:t>
      </w:r>
    </w:p>
    <w:p>
      <w:pPr>
        <w:pStyle w:val="FirstParagraph"/>
      </w:pPr>
      <w:r>
        <w:t xml:space="preserve">L’application supervise une production monétique et ses logs peuvent contenir des données de</w:t>
      </w:r>
      <w:r>
        <w:t xml:space="preserve"> </w:t>
      </w:r>
      <w:r>
        <w:t xml:space="preserve">porteurs. Chaque catégorie du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est traduite en mesures concrètes dans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. Les points structurants :</w:t>
      </w:r>
    </w:p>
    <w:bookmarkStart w:id="70" w:name="Xc5717fbf789a1f255a0383f5be0f714ee037a96"/>
    <w:p>
      <w:pPr>
        <w:pStyle w:val="Titre3"/>
      </w:pPr>
      <w:r>
        <w:t xml:space="preserve">Authentification en deux temps, dans cet ordre</w:t>
      </w:r>
    </w:p>
    <w:p>
      <w:pPr>
        <w:pStyle w:val="CaptionedFigure"/>
      </w:pPr>
      <w:r>
        <w:drawing>
          <wp:inline>
            <wp:extent cx="5399999" cy="4481468"/>
            <wp:effectExtent b="0" l="0" r="0" t="0"/>
            <wp:docPr descr="Connexion" title="" id="68" name="Picture"/>
            <a:graphic>
              <a:graphicData uri="http://schemas.openxmlformats.org/drawingml/2006/picture">
                <pic:pic>
                  <pic:nvPicPr>
                    <pic:cNvPr descr="diagrammes/08-sequence-authentificat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481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Connexion</w:t>
      </w:r>
    </w:p>
    <w:p>
      <w:pPr>
        <w:pStyle w:val="Corpsdetexte"/>
      </w:pPr>
      <w:r>
        <w:t xml:space="preserve">Se connecter demande</w:t>
      </w:r>
      <w:r>
        <w:t xml:space="preserve"> </w:t>
      </w:r>
      <w:r>
        <w:rPr>
          <w:b/>
          <w:bCs/>
        </w:rPr>
        <w:t xml:space="preserve">deux choses à la fois</w:t>
      </w:r>
      <w:r>
        <w:t xml:space="preserve"> </w:t>
      </w:r>
      <w:r>
        <w:t xml:space="preserve">: un compte Active Directory valide, et avoir été</w:t>
      </w:r>
      <w:r>
        <w:t xml:space="preserve"> </w:t>
      </w:r>
      <w:r>
        <w:t xml:space="preserve">déclaré utilisateur par un administrateur.</w:t>
      </w:r>
    </w:p>
    <w:p>
      <w:pPr>
        <w:pStyle w:val="Corpsdetexte"/>
      </w:pPr>
      <w:r>
        <w:t xml:space="preserve">L’ordre des vérifications a fait l’objet d’un arbitrage explicite. Sentinel vérifie</w:t>
      </w:r>
      <w:r>
        <w:t xml:space="preserve"> </w:t>
      </w:r>
      <w:r>
        <w:rPr>
          <w:b/>
          <w:bCs/>
        </w:rPr>
        <w:t xml:space="preserve">d’abord</w:t>
      </w:r>
      <w:r>
        <w:t xml:space="preserve"> </w:t>
      </w:r>
      <w:r>
        <w:t xml:space="preserve">que</w:t>
      </w:r>
      <w:r>
        <w:t xml:space="preserve"> </w:t>
      </w:r>
      <w:r>
        <w:t xml:space="preserve">l’identifiant est déclaré et actif, et ne présente le mot de passe à l’annuaire qu’ensuite. Dans</w:t>
      </w:r>
      <w:r>
        <w:t xml:space="preserve"> </w:t>
      </w:r>
      <w:r>
        <w:t xml:space="preserve">l’ordre inverse, une campagne de devinettes contre Sentinel se serait transformée en tentatives de</w:t>
      </w:r>
      <w:r>
        <w:t xml:space="preserve"> </w:t>
      </w:r>
      <w:r>
        <w:t xml:space="preserve">connexion sur les comptes du domaine, avec le risque de les verrouiller : un déni de service sur</w:t>
      </w:r>
      <w:r>
        <w:t xml:space="preserve"> </w:t>
      </w:r>
      <w:r>
        <w:t xml:space="preserve">les comptes de l’entreprise, déclenché depuis une application de supervision.</w:t>
      </w:r>
    </w:p>
    <w:p>
      <w:pPr>
        <w:pStyle w:val="Corpsdetexte"/>
      </w:pPr>
      <w:r>
        <w:t xml:space="preserve">Le message de refus est identique dans tous les cas — mot de passe faux, compte inconnu, compte</w:t>
      </w:r>
      <w:r>
        <w:t xml:space="preserve"> </w:t>
      </w:r>
      <w:r>
        <w:t xml:space="preserve">désactivé, compte absent de l’annuaire. Le nuancer révélerait quels identifiants existent.</w:t>
      </w:r>
    </w:p>
    <w:p>
      <w:pPr>
        <w:pStyle w:val="Corpsdetexte"/>
      </w:pPr>
      <w:r>
        <w:t xml:space="preserve">Deux comptes techniques échappent à l’annuaire, définis par la configuration du serveur et absents</w:t>
      </w:r>
      <w:r>
        <w:t xml:space="preserve"> </w:t>
      </w:r>
      <w:r>
        <w:t xml:space="preserve">de la liste des utilisateurs :</w:t>
      </w:r>
      <w:r>
        <w:t xml:space="preserve"> </w:t>
      </w:r>
      <w:r>
        <w:rPr>
          <w:rStyle w:val="VerbatimChar"/>
        </w:rPr>
        <w:t xml:space="preserve">sentineluser</w:t>
      </w:r>
      <w:r>
        <w:t xml:space="preserve"> </w:t>
      </w:r>
      <w:r>
        <w:t xml:space="preserve">(lecteur, pour l’écran de l’open space, session de</w:t>
      </w:r>
      <w:r>
        <w:t xml:space="preserve"> </w:t>
      </w:r>
      <w:r>
        <w:t xml:space="preserve">longue durée) et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(super administrateur, filet de sécurité). Leurs mots de passe</w:t>
      </w:r>
      <w:r>
        <w:t xml:space="preserve"> </w:t>
      </w:r>
      <w:r>
        <w:t xml:space="preserve">sont</w:t>
      </w:r>
      <w:r>
        <w:t xml:space="preserve"> </w:t>
      </w:r>
      <w:r>
        <w:rPr>
          <w:b/>
          <w:bCs/>
        </w:rPr>
        <w:t xml:space="preserve">hachés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scrypt</w:t>
      </w:r>
      <w:r>
        <w:t xml:space="preserve">, jamais chiffrés : un chiffré supposerait une clé capable de le</w:t>
      </w:r>
      <w:r>
        <w:t xml:space="preserve"> </w:t>
      </w:r>
      <w:r>
        <w:t xml:space="preserve">déchiffrer, donc un secret de plus à protéger.</w:t>
      </w:r>
    </w:p>
    <w:bookmarkEnd w:id="70"/>
    <w:bookmarkStart w:id="71" w:name="le-contrôle-daccès-descend-jusquau-champ"/>
    <w:p>
      <w:pPr>
        <w:pStyle w:val="Titre3"/>
      </w:pPr>
      <w:r>
        <w:t xml:space="preserve">Le contrôle d’accès descend jusqu’au champ</w:t>
      </w:r>
    </w:p>
    <w:p>
      <w:pPr>
        <w:pStyle w:val="FirstParagraph"/>
      </w:pPr>
      <w:r>
        <w:t xml:space="preserve">Un contrôle qui s’arrête à la route laisse passer des données que l’appelant n’a pas à voir dans</w:t>
      </w:r>
      <w:r>
        <w:t xml:space="preserve"> </w:t>
      </w:r>
      <w:r>
        <w:t xml:space="preserve">une réponse à laquelle il a pourtant droit.</w:t>
      </w:r>
    </w:p>
    <w:p>
      <w:pPr>
        <w:pStyle w:val="Corpsdetexte"/>
      </w:pPr>
      <w:r>
        <w:t xml:space="preserve">Le cas concret : les chemins des fichiers de logs. Un lecteur a le droit de consulter la liste des</w:t>
      </w:r>
      <w:r>
        <w:t xml:space="preserve"> </w:t>
      </w:r>
      <w:r>
        <w:t xml:space="preserve">applications — c’est même son écran principal — mais pas de savoir que les logs de telle</w:t>
      </w:r>
      <w:r>
        <w:t xml:space="preserve"> </w:t>
      </w:r>
      <w:r>
        <w:t xml:space="preserve">application vivent dans</w:t>
      </w:r>
      <w:r>
        <w:t xml:space="preserve"> </w:t>
      </w:r>
      <w:r>
        <w:rPr>
          <w:rStyle w:val="VerbatimChar"/>
        </w:rPr>
        <w:t xml:space="preserve">/home/mobileapi/API_MOBILE/LOG/</w:t>
      </w:r>
      <w:r>
        <w:t xml:space="preserve">. Cette information décrit l’arborescence</w:t>
      </w:r>
      <w:r>
        <w:t xml:space="preserve"> </w:t>
      </w:r>
      <w:r>
        <w:t xml:space="preserve">d’une machine de production et oriente qui chercherait où frapper. Le grand écran de l’open space</w:t>
      </w:r>
      <w:r>
        <w:t xml:space="preserve"> </w:t>
      </w:r>
      <w:r>
        <w:t xml:space="preserve">se connecte précisément avec ce rôle, et il est visible de tout le plateau.</w:t>
      </w:r>
    </w:p>
    <w:p>
      <w:pPr>
        <w:pStyle w:val="Corpsdetexte"/>
      </w:pPr>
      <w:r>
        <w:t xml:space="preserve">Le champ est donc retiré</w:t>
      </w:r>
      <w:r>
        <w:t xml:space="preserve"> </w:t>
      </w:r>
      <w:r>
        <w:rPr>
          <w:b/>
          <w:bCs/>
        </w:rPr>
        <w:t xml:space="preserve">de la réponse</w:t>
      </w:r>
      <w:r>
        <w:t xml:space="preserve">, pas de l’affichage : le masquer côté interface</w:t>
      </w:r>
      <w:r>
        <w:t xml:space="preserve"> </w:t>
      </w:r>
      <w:r>
        <w:t xml:space="preserve">l’aurait laissé lisible dans l’onglet réseau du navigateur.</w:t>
      </w:r>
    </w:p>
    <w:bookmarkEnd w:id="71"/>
    <w:bookmarkStart w:id="72" w:name="X143428fbb4f98011cca554911f2c6c9497f9e05"/>
    <w:p>
      <w:pPr>
        <w:pStyle w:val="Titre3"/>
      </w:pPr>
      <w:r>
        <w:t xml:space="preserve">Retirer l’accès : on désactive, on ne supprime pas</w:t>
      </w:r>
    </w:p>
    <w:p>
      <w:pPr>
        <w:pStyle w:val="FirstParagraph"/>
      </w:pPr>
      <w:r>
        <w:t xml:space="preserve">Il n’existe pas de suppression d’utilisateur. La suppression effacerait la trace de qui a eu accès</w:t>
      </w:r>
      <w:r>
        <w:t xml:space="preserve"> </w:t>
      </w:r>
      <w:r>
        <w:t xml:space="preserve">et quand — précisément ce qu’on veut pouvoir consulter après un incident — et rien ne la</w:t>
      </w:r>
      <w:r>
        <w:t xml:space="preserve"> </w:t>
      </w:r>
      <w:r>
        <w:t xml:space="preserve">distinguerait d’un clic malheureux. Un compte désactivé conserve son historique et se réactive.</w:t>
      </w:r>
    </w:p>
    <w:bookmarkEnd w:id="72"/>
    <w:bookmarkStart w:id="73" w:name="double-authentification"/>
    <w:p>
      <w:pPr>
        <w:pStyle w:val="Titre3"/>
      </w:pPr>
      <w:r>
        <w:t xml:space="preserve">Double authentification</w:t>
      </w:r>
    </w:p>
    <w:p>
      <w:pPr>
        <w:pStyle w:val="FirstParagraph"/>
      </w:pPr>
      <w:r>
        <w:t xml:space="preserve">Un code TOTP à six chiffres, renouvelé toutes les trente secondes, compatible avec les applications</w:t>
      </w:r>
      <w:r>
        <w:t xml:space="preserve"> </w:t>
      </w:r>
      <w:r>
        <w:t xml:space="preserve">d’authentification courantes.</w:t>
      </w:r>
    </w:p>
    <w:p>
      <w:pPr>
        <w:pStyle w:val="Corpsdetexte"/>
      </w:pPr>
      <w:r>
        <w:t xml:space="preserve">L’algorithme de la RFC 6238 est</w:t>
      </w:r>
      <w:r>
        <w:t xml:space="preserve"> </w:t>
      </w:r>
      <w:r>
        <w:rPr>
          <w:b/>
          <w:bCs/>
        </w:rPr>
        <w:t xml:space="preserve">implémenté dans le dépôt</w:t>
      </w:r>
      <w:r>
        <w:t xml:space="preserve"> </w:t>
      </w:r>
      <w:r>
        <w:t xml:space="preserve">plutôt qu’emprunté à une bibliothèque :</w:t>
      </w:r>
      <w:r>
        <w:t xml:space="preserve"> </w:t>
      </w:r>
      <w:r>
        <w:t xml:space="preserve">il tient en une trentaine de lignes utiles, et la RFC publie des vecteurs de test qui en vérifient</w:t>
      </w:r>
      <w:r>
        <w:t xml:space="preserve"> </w:t>
      </w:r>
      <w:r>
        <w:t xml:space="preserve">l’exactitude de bout en bout. Une implémentation qu’on peut prouver juste vaut mieux qu’une</w:t>
      </w:r>
      <w:r>
        <w:t xml:space="preserve"> </w:t>
      </w:r>
      <w:r>
        <w:t xml:space="preserve">dépendance de plus dans la chaîne d’approvisionnement d’une application qui supervise une production</w:t>
      </w:r>
      <w:r>
        <w:t xml:space="preserve"> </w:t>
      </w:r>
      <w:r>
        <w:t xml:space="preserve">monétique.</w:t>
      </w:r>
    </w:p>
    <w:p>
      <w:pPr>
        <w:pStyle w:val="Corpsdetexte"/>
      </w:pPr>
      <w:r>
        <w:t xml:space="preserve">Deux traitements opposés, qu’il ne faut pas confondre : le</w:t>
      </w:r>
      <w:r>
        <w:t xml:space="preserve"> </w:t>
      </w:r>
      <w:r>
        <w:rPr>
          <w:b/>
          <w:bCs/>
        </w:rPr>
        <w:t xml:space="preserve">secret TOTP est chiffré</w:t>
      </w:r>
      <w:r>
        <w:t xml:space="preserve">, parce que le</w:t>
      </w:r>
      <w:r>
        <w:t xml:space="preserve"> </w:t>
      </w:r>
      <w:r>
        <w:t xml:space="preserve">serveur doit le relire pour recalculer le code attendu ; les</w:t>
      </w:r>
      <w:r>
        <w:t xml:space="preserve"> </w:t>
      </w:r>
      <w:r>
        <w:rPr>
          <w:b/>
          <w:bCs/>
        </w:rPr>
        <w:t xml:space="preserve">codes de récupération sont hachés</w:t>
      </w:r>
      <w:r>
        <w:t xml:space="preserve">,</w:t>
      </w:r>
      <w:r>
        <w:t xml:space="preserve"> </w:t>
      </w:r>
      <w:r>
        <w:t xml:space="preserve">parce qu’on ne les relit jamais. C’est exactement l’inverse du raisonnement tenu pour les mots de</w:t>
      </w:r>
      <w:r>
        <w:t xml:space="preserve"> </w:t>
      </w:r>
      <w:r>
        <w:t xml:space="preserve">passe des comptes techniques.</w:t>
      </w:r>
    </w:p>
    <w:p>
      <w:pPr>
        <w:pStyle w:val="Corpsdetexte"/>
      </w:pPr>
      <w:r>
        <w:t xml:space="preserve">L’appairage n’active rien tant qu’un premier code correct ne l’a pas confirmé. Sans cette étape,</w:t>
      </w:r>
      <w:r>
        <w:t xml:space="preserve"> </w:t>
      </w:r>
      <w:r>
        <w:t xml:space="preserve">quelqu’un qui scanne mal son QR — ou dont le téléphone est à l’heure d’un autre fuseau — se</w:t>
      </w:r>
      <w:r>
        <w:t xml:space="preserve"> </w:t>
      </w:r>
      <w:r>
        <w:t xml:space="preserve">retrouverait enfermé dehors à sa connexion suivante, sans avoir rien fait de mal.</w:t>
      </w:r>
    </w:p>
    <w:p>
      <w:pPr>
        <w:pStyle w:val="Corpsdetexte"/>
      </w:pPr>
      <w:r>
        <w:t xml:space="preserve">Le point qui a demandé le plus de soin est l’interrupteur global.</w:t>
      </w:r>
      <w:r>
        <w:t xml:space="preserve"> </w:t>
      </w:r>
      <w:r>
        <w:rPr>
          <w:b/>
          <w:bCs/>
        </w:rPr>
        <w:t xml:space="preserve">Imposer la double</w:t>
      </w:r>
      <w:r>
        <w:rPr>
          <w:b/>
          <w:bCs/>
        </w:rPr>
        <w:t xml:space="preserve"> </w:t>
      </w:r>
      <w:r>
        <w:rPr>
          <w:b/>
          <w:bCs/>
        </w:rPr>
        <w:t xml:space="preserve">authentification n’appaire personne</w:t>
      </w:r>
      <w:r>
        <w:t xml:space="preserve"> </w:t>
      </w:r>
      <w:r>
        <w:t xml:space="preserve">: le jour où on l’active, aucun compte ne l’a configurée.</w:t>
      </w:r>
      <w:r>
        <w:t xml:space="preserve"> </w:t>
      </w:r>
      <w:r>
        <w:t xml:space="preserve">Laisser ces comptes entrer normalement viderait le réglage de tout effet ; leur refuser l’accès</w:t>
      </w:r>
      <w:r>
        <w:t xml:space="preserve"> </w:t>
      </w:r>
      <w:r>
        <w:t xml:space="preserve">rendrait l’appairage impossible. Ils reçoivent donc une</w:t>
      </w:r>
      <w:r>
        <w:t xml:space="preserve"> </w:t>
      </w:r>
      <w:r>
        <w:rPr>
          <w:b/>
          <w:bCs/>
        </w:rPr>
        <w:t xml:space="preserve">session restreinte</w:t>
      </w:r>
      <w:r>
        <w:t xml:space="preserve">, que le garde limite</w:t>
      </w:r>
      <w:r>
        <w:t xml:space="preserve"> </w:t>
      </w:r>
      <w:r>
        <w:t xml:space="preserve">aux seules routes d’appairage, et qui cesse de l’être dès l’appairage confirmé. C’est la différence</w:t>
      </w:r>
      <w:r>
        <w:t xml:space="preserve"> </w:t>
      </w:r>
      <w:r>
        <w:t xml:space="preserve">entre un contrôle et une case à cocher décorative.</w:t>
      </w:r>
    </w:p>
    <w:bookmarkEnd w:id="73"/>
    <w:bookmarkStart w:id="74" w:name="autres-mesures"/>
    <w:p>
      <w:pPr>
        <w:pStyle w:val="Titre3"/>
      </w:pPr>
      <w:r>
        <w:t xml:space="preserve">Autres mesures</w:t>
      </w:r>
    </w:p>
    <w:p>
      <w:pPr>
        <w:pStyle w:val="FirstParagraph"/>
      </w:pPr>
      <w:r>
        <w:t xml:space="preserve">Session dans un cookie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, hors de portée d’une XSS ; rôle et activation</w:t>
      </w:r>
      <w:r>
        <w:t xml:space="preserve"> </w:t>
      </w:r>
      <w:r>
        <w:rPr>
          <w:b/>
          <w:bCs/>
        </w:rPr>
        <w:t xml:space="preserve">relus en base à chaque requête</w:t>
      </w:r>
      <w:r>
        <w:t xml:space="preserve"> </w:t>
      </w:r>
      <w:r>
        <w:t xml:space="preserve">plutôt que tirés du jeton, pour qu’un retrait de droits prenne</w:t>
      </w:r>
      <w:r>
        <w:t xml:space="preserve"> </w:t>
      </w:r>
      <w:r>
        <w:t xml:space="preserve">effet immédiatement ; échappement RFC 4515 des filtres LDAP ; limitation des tentatives de</w:t>
      </w:r>
      <w:r>
        <w:t xml:space="preserve"> </w:t>
      </w:r>
      <w:r>
        <w:t xml:space="preserve">connexion ; en-têtes de sécurité explicites ; et aucune divulgation de détail interne dans les</w:t>
      </w:r>
      <w:r>
        <w:t xml:space="preserve"> </w:t>
      </w:r>
      <w:r>
        <w:t xml:space="preserve">réponses d’erreur, remplacée par un identifiant de corrélation journalisé côté serveur.</w:t>
      </w:r>
    </w:p>
    <w:bookmarkEnd w:id="74"/>
    <w:bookmarkEnd w:id="75"/>
    <w:bookmarkStart w:id="79" w:name="cycle-de-vie-dune-alerte"/>
    <w:p>
      <w:pPr>
        <w:pStyle w:val="Titre2"/>
      </w:pPr>
      <w:r>
        <w:t xml:space="preserve">Cycle de vie d’une alerte</w:t>
      </w:r>
    </w:p>
    <w:p>
      <w:pPr>
        <w:pStyle w:val="CaptionedFigure"/>
      </w:pPr>
      <w:r>
        <w:drawing>
          <wp:inline>
            <wp:extent cx="5039999" cy="3104020"/>
            <wp:effectExtent b="0" l="0" r="0" t="0"/>
            <wp:docPr descr="Cycle de vie d’une alerte" title="" id="77" name="Picture"/>
            <a:graphic>
              <a:graphicData uri="http://schemas.openxmlformats.org/drawingml/2006/picture">
                <pic:pic>
                  <pic:nvPicPr>
                    <pic:cNvPr descr="diagrammes/09-etats-alert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04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Cycle de vie d’une alerte</w:t>
      </w:r>
    </w:p>
    <w:p>
      <w:pPr>
        <w:pStyle w:val="Corpsdetexte"/>
      </w:pPr>
      <w:r>
        <w:t xml:space="preserve">Une alerte naît du déclenchement d’une règle, notifie sur les canaux actifs, puis entre en</w:t>
      </w:r>
      <w:r>
        <w:t xml:space="preserve"> </w:t>
      </w:r>
      <w:r>
        <w:t xml:space="preserve">cooldown. Elle reste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jusqu’à ce qu’un superviseur ou un administrateur l’acquitte : il</w:t>
      </w:r>
      <w:r>
        <w:t xml:space="preserve"> </w:t>
      </w:r>
      <w:r>
        <w:t xml:space="preserve">n’y a pas de résolution automatique. Une alerte qui disparaîtrait d’elle-même laisserait croire que</w:t>
      </w:r>
      <w:r>
        <w:t xml:space="preserve"> </w:t>
      </w:r>
      <w:r>
        <w:t xml:space="preserve">le problème a été traité.</w:t>
      </w:r>
    </w:p>
    <w:bookmarkEnd w:id="79"/>
    <w:bookmarkEnd w:id="80"/>
    <w:bookmarkStart w:id="81" w:name="choix-de-conception-notables"/>
    <w:p>
      <w:pPr>
        <w:pStyle w:val="Titre1"/>
      </w:pPr>
      <w:r>
        <w:t xml:space="preserve">Choix de conception notables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Décision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découplée de l’évaluation des règles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moteur de règles lent ne doit pas faire perdre des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 de débit par agent, non par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applications partagent un serveur ; compter par IP les ferait se brider mutuellement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d’ingestion rattaché à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token compromis ne peut pas injecter dans l’application voisine du même serveur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des logs derrière un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Bascule MySQL → OpenSearch sans reprise du code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par registre, jamais par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onzième type d’application s’ajoute sans relire l’existant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Copie explicite de configuration, aucun repli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Distingue « valeur par défaut choisie » de « jamais configuré » ; modifier le global ne change pas les applications existantes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Règles de silence créées d’office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application muette resterait affichée verte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 piloté par les seuls services critiques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service accessoire ne doit pas faire passer au rouge une application saine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Masquage des données sensibles avant persistance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donnée écrite en clair le reste dans les sauvegardes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Purge épargnant les alertes actives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alerte ancienne et non résolue est celle qu’il ne faut surtout pas perdre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Vérification « utilisateur déclaré » avant l’annuaire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Évite de transformer une attaque sur Sentinel en verrouillage des comptes du domaine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déclarés rôle par rôle, sans hiérarchie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 exprimable le premier droit qui ne suivra pas l’ordre attendu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Chemins de logs retirés de la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Masquer à l’affichage seulement ne masque rien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Désactivation plutôt que suppression d’utilisateur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Conserve la trace des accès ; réversible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Zod partagée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schéma pour valider côté serveur et typer côté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Aucun mot de passe utilisateur stocké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L’annuaire fait autorité ; rien à protéger, rien à faire fuir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implémenté dans le dépôt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Trente lignes prouvées par les vecteurs de la RFC, contre une dépendance de plus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 TOTP chiffré, codes de récupération hachés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premier doit être relu, les seconds jamais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Appairage confirmé par un premier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QR mal scanné n’enferme personne dehors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restreinte tant que la 2FA imposée n’est pas appairée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quoi l’interrupteur global n’imposerait rien</w:t>
            </w:r>
          </w:p>
        </w:tc>
      </w:tr>
    </w:tbl>
    <w:bookmarkEnd w:id="81"/>
    <w:bookmarkStart w:id="82" w:name="qualité-et-vérification"/>
    <w:p>
      <w:pPr>
        <w:pStyle w:val="Titre1"/>
      </w:pPr>
      <w:r>
        <w:t xml:space="preserve">Qualité et vérification</w:t>
      </w:r>
    </w:p>
    <w:p>
      <w:pPr>
        <w:pStyle w:val="FirstParagraph"/>
      </w:pPr>
      <w:r>
        <w:t xml:space="preserve">La vérification s’appuie sur trois niveaux, choisis en fonction de ce que chacun peut réellement</w:t>
      </w:r>
      <w:r>
        <w:t xml:space="preserve"> </w:t>
      </w:r>
      <w:r>
        <w:t xml:space="preserve">détecter.</w:t>
      </w:r>
    </w:p>
    <w:p>
      <w:pPr>
        <w:pStyle w:val="Corpsdetexte"/>
      </w:pPr>
      <w:r>
        <w:rPr>
          <w:b/>
          <w:bCs/>
        </w:rPr>
        <w:t xml:space="preserve">Tests unitaires</w:t>
      </w:r>
      <w:r>
        <w:t xml:space="preserve"> </w:t>
      </w:r>
      <w:r>
        <w:t xml:space="preserve">— 156 tests couvrant en priorité ce qui est subtil et silencieux en cas</w:t>
      </w:r>
      <w:r>
        <w:t xml:space="preserve"> </w:t>
      </w:r>
      <w:r>
        <w:t xml:space="preserve">d’erreur : les six parseurs de logs, les analyseurs et leurs seuils, le calcul des heures creuses,</w:t>
      </w:r>
      <w:r>
        <w:t xml:space="preserve"> </w:t>
      </w:r>
      <w:r>
        <w:t xml:space="preserve">le masquage des données sensibles, le hachage</w:t>
      </w:r>
      <w:r>
        <w:t xml:space="preserve"> </w:t>
      </w:r>
      <w:r>
        <w:rPr>
          <w:rStyle w:val="VerbatimChar"/>
        </w:rPr>
        <w:t xml:space="preserve">scrypt</w:t>
      </w:r>
      <w:r>
        <w:t xml:space="preserve">, l’échappement des filtres LDAP, le</w:t>
      </w:r>
      <w:r>
        <w:t xml:space="preserve"> </w:t>
      </w:r>
      <w:r>
        <w:t xml:space="preserve">chiffrement des secrets, et l’algorithme TOTP — celui-ci vérifié contre les six vecteurs de test</w:t>
      </w:r>
      <w:r>
        <w:t xml:space="preserve"> </w:t>
      </w:r>
      <w:r>
        <w:t xml:space="preserve">publiés par la RFC 6238. L’échappement LDAP mérite la même attention : une recherche annuaire sur</w:t>
      </w:r>
      <w:r>
        <w:t xml:space="preserve"> </w:t>
      </w:r>
      <w:r>
        <w:rPr>
          <w:rStyle w:val="VerbatimChar"/>
        </w:rPr>
        <w:t xml:space="preserve">*)(objectClass=*</w:t>
      </w:r>
      <w:r>
        <w:t xml:space="preserve"> </w:t>
      </w:r>
      <w:r>
        <w:t xml:space="preserve">ne doit pas se transformer en énumération complète de l’annuaire.</w:t>
      </w:r>
    </w:p>
    <w:p>
      <w:pPr>
        <w:pStyle w:val="Corpsdetexte"/>
      </w:pPr>
      <w:r>
        <w:rPr>
          <w:b/>
          <w:bCs/>
        </w:rPr>
        <w:t xml:space="preserve">Scénarios de bout en bout</w:t>
      </w:r>
      <w:r>
        <w:t xml:space="preserve"> </w:t>
      </w:r>
      <w:r>
        <w:t xml:space="preserve">— deux scripts déroulent les parcours complets contre un backend</w:t>
      </w:r>
      <w:r>
        <w:t xml:space="preserve"> </w:t>
      </w:r>
      <w:r>
        <w:t xml:space="preserve">démarré : 43 vérifications sur l’authentification — les trois rôles, la recherche annuaire, la</w:t>
      </w:r>
      <w:r>
        <w:t xml:space="preserve"> </w:t>
      </w:r>
      <w:r>
        <w:t xml:space="preserve">désactivation, la session d’affichage, la limitation des tentatives et son non-contournement — et</w:t>
      </w:r>
      <w:r>
        <w:t xml:space="preserve"> </w:t>
      </w:r>
      <w:r>
        <w:t xml:space="preserve">31 sur la double authentification : appairage, connexion en deux étapes, codes de récupération à</w:t>
      </w:r>
      <w:r>
        <w:t xml:space="preserve"> </w:t>
      </w:r>
      <w:r>
        <w:t xml:space="preserve">usage unique, session restreinte et réinitialisation par un administrateur.</w:t>
      </w:r>
    </w:p>
    <w:p>
      <w:pPr>
        <w:pStyle w:val="Corpsdetexte"/>
      </w:pPr>
      <w:r>
        <w:rPr>
          <w:b/>
          <w:bCs/>
        </w:rPr>
        <w:t xml:space="preserve">Vérification dans un navigateur réel</w:t>
      </w:r>
      <w:r>
        <w:t xml:space="preserve"> </w:t>
      </w:r>
      <w:r>
        <w:t xml:space="preserve">— 48 contrôles sur les parcours de connexion, de</w:t>
      </w:r>
      <w:r>
        <w:t xml:space="preserve"> </w:t>
      </w:r>
      <w:r>
        <w:t xml:space="preserve">redirection, d’affichage différencié par rôle et d’appairage de la double authentification. Ce niveau n’est pas redondant avec les précédents :</w:t>
      </w:r>
      <w:r>
        <w:t xml:space="preserve"> </w:t>
      </w:r>
      <w:r>
        <w:t xml:space="preserve">plusieurs anomalies n’étaient visibles qu’en exécutant réellement l’interface, notamment sur les</w:t>
      </w:r>
      <w:r>
        <w:t xml:space="preserve"> </w:t>
      </w:r>
      <w:r>
        <w:t xml:space="preserve">politiques d’autoplay audio des navigateurs, qui diffèrent entre un élément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et un</w:t>
      </w:r>
      <w:r>
        <w:t xml:space="preserve"> </w:t>
      </w:r>
      <w:r>
        <w:rPr>
          <w:rStyle w:val="VerbatimChar"/>
        </w:rPr>
        <w:t xml:space="preserve">AudioContext</w:t>
      </w:r>
      <w:r>
        <w:t xml:space="preserve"> </w:t>
      </w:r>
      <w:r>
        <w:t xml:space="preserve">et ne se déduisent d’aucune documentation.</w:t>
      </w:r>
    </w:p>
    <w:p>
      <w:pPr>
        <w:pStyle w:val="Corpsdetexte"/>
      </w:pPr>
      <w:r>
        <w:t xml:space="preserve">Une porte d’audit de sécurité (</w:t>
      </w:r>
      <w:r>
        <w:rPr>
          <w:rStyle w:val="VerbatimChar"/>
        </w:rPr>
        <w:t xml:space="preserve">npm run audit:security</w:t>
      </w:r>
      <w:r>
        <w:t xml:space="preserve">) refuse toute vulnérabilité haute ou</w:t>
      </w:r>
      <w:r>
        <w:t xml:space="preserve"> </w:t>
      </w:r>
      <w:r>
        <w:t xml:space="preserve">critique non motivée. Les exceptions restantes sont</w:t>
      </w:r>
      <w:r>
        <w:t xml:space="preserve"> </w:t>
      </w:r>
      <w:r>
        <w:rPr>
          <w:b/>
          <w:bCs/>
        </w:rPr>
        <w:t xml:space="preserve">datées et justifiées</w:t>
      </w:r>
      <w:r>
        <w:t xml:space="preserve"> </w:t>
      </w:r>
      <w:r>
        <w:t xml:space="preserve">: trois dépendances</w:t>
      </w:r>
      <w:r>
        <w:t xml:space="preserve"> </w:t>
      </w:r>
      <w:r>
        <w:t xml:space="preserve">transitives de l’outillage de migration, absentes du runtime déployé, à relever dès qu’un correctif</w:t>
      </w:r>
      <w:r>
        <w:t xml:space="preserve"> </w:t>
      </w:r>
      <w:r>
        <w:t xml:space="preserve">est publié.</w:t>
      </w:r>
    </w:p>
    <w:bookmarkEnd w:id="82"/>
    <w:bookmarkStart w:id="83" w:name="limites-connues-et-évolutions"/>
    <w:p>
      <w:pPr>
        <w:pStyle w:val="Titre1"/>
      </w:pPr>
      <w:r>
        <w:t xml:space="preserve">Limites connues et évolutions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Adaptateur OpenSearch</w:t>
      </w:r>
      <w:r>
        <w:t xml:space="preserve"> </w:t>
      </w:r>
      <w:r>
        <w:t xml:space="preserve">: écrit, jamais exercé faute d’instance disponible. Le port est en</w:t>
      </w:r>
      <w:r>
        <w:t xml:space="preserve"> </w:t>
      </w:r>
      <w:r>
        <w:t xml:space="preserve">place et le basculement se fait par variable d’environnement, mais la bascule devra être validée</w:t>
      </w:r>
      <w:r>
        <w:t xml:space="preserve"> </w:t>
      </w:r>
      <w:r>
        <w:t xml:space="preserve">sur un environnement réel avant mise en production.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Déploiement Docker</w:t>
      </w:r>
      <w:r>
        <w:t xml:space="preserve"> </w:t>
      </w:r>
      <w:r>
        <w:t xml:space="preserve">: les fichiers de composition existent et n’ont pas été exécutés, le poste</w:t>
      </w:r>
      <w:r>
        <w:t xml:space="preserve"> </w:t>
      </w:r>
      <w:r>
        <w:t xml:space="preserve">de développement ne disposant pas de Docker.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sonores et politiques navigateur</w:t>
      </w:r>
      <w:r>
        <w:t xml:space="preserve"> </w:t>
      </w:r>
      <w:r>
        <w:t xml:space="preserve">: le son fonctionne, mais dépend d’un réglage à faire</w:t>
      </w:r>
      <w:r>
        <w:t xml:space="preserve"> </w:t>
      </w:r>
      <w:r>
        <w:t xml:space="preserve">une fois par poste sur les navigateurs Chromium. Le contournement est documenté dans</w:t>
      </w:r>
      <w:r>
        <w:t xml:space="preserve"> </w:t>
      </w:r>
      <w:r>
        <w:rPr>
          <w:rStyle w:val="VerbatimChar"/>
        </w:rPr>
        <w:t xml:space="preserve">docs/FRONTEND.md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Édition en place de certaines entités</w:t>
      </w:r>
      <w:r>
        <w:t xml:space="preserve"> </w:t>
      </w:r>
      <w:r>
        <w:t xml:space="preserve">: les serveurs et les services surveillés se créent et</w:t>
      </w:r>
      <w:r>
        <w:t xml:space="preserve"> </w:t>
      </w:r>
      <w:r>
        <w:t xml:space="preserve">se suppriment, mais ne se modifient pas. Simplification assumée, à lever si le besoin se confirme.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Perte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AUTH_ENCRYPTION_KEY</w:t>
      </w:r>
      <w:r>
        <w:t xml:space="preserve"> </w:t>
      </w:r>
      <w:r>
        <w:t xml:space="preserve">: elle rend illisibles les secrets de double authentification</w:t>
      </w:r>
      <w:r>
        <w:t xml:space="preserve"> </w:t>
      </w:r>
      <w:r>
        <w:t xml:space="preserve">déjà appairés, et les codes de récupération ne sauvent pas de ce cas, leur empreinte dépendant de</w:t>
      </w:r>
      <w:r>
        <w:t xml:space="preserve"> </w:t>
      </w:r>
      <w:r>
        <w:t xml:space="preserve">la même clé. Les personnes concernées doivent réappairer. La sauvegarde de cette clé est traitée</w:t>
      </w:r>
      <w:r>
        <w:t xml:space="preserve"> </w:t>
      </w:r>
      <w:r>
        <w:t xml:space="preserve">dans le guide de déploiement, à côté de</w:t>
      </w:r>
      <w:r>
        <w:t xml:space="preserve"> </w:t>
      </w:r>
      <w:r>
        <w:rPr>
          <w:rStyle w:val="VerbatimChar"/>
        </w:rPr>
        <w:t xml:space="preserve">AGENT_TOKEN_SECRET</w:t>
      </w:r>
      <w:r>
        <w:t xml:space="preserve">, qui appelle la même précaution.</w:t>
      </w:r>
    </w:p>
    <w:bookmarkEnd w:id="83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Type="http://schemas.openxmlformats.org/officeDocument/2006/relationships/image" Id="rId54" Target="media/rId5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27" Target="media/rId27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2026-09-04T19:27:48Z</dcterms:created>
  <dcterms:modified xsi:type="dcterms:W3CDTF">2026-09-04T19:27:48Z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