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adjustRightInd="1" w:snapToGrid="0">
        <w:spacing w:before="120" w:after="120" w:line="240" w:lineRule="auto"/>
        <w:jc w:val="center"/>
      </w:pPr>
      <w:r>
        <w:rPr>
          <w:rFonts w:eastAsia="標楷體" w:ascii="Times New Roman" w:hAnsi="Times New Roman"/>
          <w:b/>
          <w:i w:val="0"/>
          <w:sz w:val="44"/>
        </w:rPr>
        <w:t>國立臺北商業大學</w:t>
      </w:r>
    </w:p>
    <w:p>
      <w:pPr w:adjustRightInd="1" w:snapToGrid="0">
        <w:spacing w:before="120" w:after="120" w:line="240" w:lineRule="auto"/>
        <w:jc w:val="center"/>
      </w:pPr>
      <w:r>
        <w:rPr>
          <w:rFonts w:eastAsia="標楷體" w:ascii="Times New Roman" w:hAnsi="Times New Roman"/>
          <w:b/>
          <w:i w:val="0"/>
          <w:sz w:val="44"/>
        </w:rPr>
        <w:t>資 訊 管 理 系</w:t>
      </w:r>
    </w:p>
    <w:p/>
    <w:p>
      <w:pPr w:adjustRightInd="1" w:snapToGrid="0">
        <w:spacing w:before="120" w:after="120" w:line="240" w:lineRule="auto"/>
        <w:jc w:val="center"/>
      </w:pPr>
      <w:r>
        <w:rPr>
          <w:rFonts w:eastAsia="標楷體" w:ascii="Times New Roman" w:hAnsi="Times New Roman"/>
          <w:b/>
          <w:i w:val="0"/>
          <w:sz w:val="36"/>
        </w:rPr>
        <w:t>115' 資訊系統專案設計</w:t>
      </w:r>
    </w:p>
    <w:p/>
    <w:p>
      <w:pPr w:adjustRightInd="1" w:snapToGrid="0">
        <w:spacing w:before="120" w:after="120" w:line="240" w:lineRule="auto"/>
        <w:jc w:val="center"/>
      </w:pPr>
      <w:r>
        <w:rPr>
          <w:rFonts w:eastAsia="標楷體" w:ascii="Times New Roman" w:hAnsi="Times New Roman"/>
          <w:b/>
          <w:i w:val="0"/>
          <w:sz w:val="56"/>
        </w:rPr>
        <w:t>系 統 手 冊</w:t>
      </w:r>
    </w:p>
    <w:p/>
    <w:p>
      <w:pPr w:adjustRightInd="1" w:snapToGrid="0">
        <w:spacing w:before="40" w:after="40" w:line="240" w:lineRule="auto"/>
        <w:jc w:val="center"/>
      </w:pPr>
      <w:r>
        <w:rPr>
          <w:rFonts w:eastAsia="標楷體" w:ascii="Times New Roman" w:hAnsi="Times New Roman"/>
          <w:b/>
          <w:i w:val="0"/>
          <w:sz w:val="32"/>
        </w:rPr>
        <w:t>組　　別：</w:t>
      </w:r>
      <w:r>
        <w:rPr>
          <w:rFonts w:eastAsia="標楷體" w:ascii="Times New Roman" w:hAnsi="Times New Roman"/>
          <w:b w:val="0"/>
          <w:i w:val="0"/>
          <w:sz w:val="32"/>
        </w:rPr>
        <w:t>第 115○○○ 組</w:t>
      </w:r>
    </w:p>
    <w:p>
      <w:pPr w:adjustRightInd="1" w:snapToGrid="0">
        <w:spacing w:before="40" w:after="40" w:line="240" w:lineRule="auto"/>
        <w:jc w:val="center"/>
      </w:pPr>
      <w:r>
        <w:rPr>
          <w:rFonts w:eastAsia="標楷體" w:ascii="Times New Roman" w:hAnsi="Times New Roman"/>
          <w:b/>
          <w:i w:val="0"/>
          <w:sz w:val="32"/>
        </w:rPr>
        <w:t>題　　目：</w:t>
      </w:r>
      <w:r>
        <w:rPr>
          <w:rFonts w:eastAsia="標楷體" w:ascii="Times New Roman" w:hAnsi="Times New Roman"/>
          <w:b w:val="0"/>
          <w:i w:val="0"/>
          <w:sz w:val="32"/>
        </w:rPr>
        <w:t>Argus 網站健檢與資安掃描 SaaS 平台</w:t>
      </w:r>
    </w:p>
    <w:p>
      <w:pPr w:adjustRightInd="1" w:snapToGrid="0">
        <w:spacing w:before="40" w:after="40" w:line="240" w:lineRule="auto"/>
        <w:jc w:val="center"/>
      </w:pPr>
      <w:r>
        <w:rPr>
          <w:rFonts w:eastAsia="標楷體" w:ascii="Times New Roman" w:hAnsi="Times New Roman"/>
          <w:b/>
          <w:i w:val="0"/>
          <w:sz w:val="32"/>
        </w:rPr>
        <w:t>指導老師：</w:t>
      </w:r>
      <w:r>
        <w:rPr>
          <w:rFonts w:eastAsia="標楷體" w:ascii="Times New Roman" w:hAnsi="Times New Roman"/>
          <w:b w:val="0"/>
          <w:i w:val="0"/>
          <w:sz w:val="32"/>
        </w:rPr>
        <w:t>○○○ 老師</w:t>
      </w:r>
    </w:p>
    <w:p>
      <w:pPr w:adjustRightInd="1" w:snapToGrid="0">
        <w:spacing w:before="40" w:after="40" w:line="240" w:lineRule="auto"/>
        <w:jc w:val="center"/>
      </w:pPr>
      <w:r>
        <w:rPr>
          <w:rFonts w:eastAsia="標楷體" w:ascii="Times New Roman" w:hAnsi="Times New Roman"/>
          <w:b/>
          <w:i w:val="0"/>
          <w:sz w:val="32"/>
        </w:rPr>
        <w:t>組　　長：</w:t>
      </w:r>
      <w:r>
        <w:rPr>
          <w:rFonts w:eastAsia="標楷體" w:ascii="Times New Roman" w:hAnsi="Times New Roman"/>
          <w:b w:val="0"/>
          <w:i w:val="0"/>
          <w:sz w:val="32"/>
        </w:rPr>
        <w:t>○○○○○  ○○○</w:t>
      </w:r>
    </w:p>
    <w:p>
      <w:pPr w:adjustRightInd="1" w:snapToGrid="0">
        <w:spacing w:before="40" w:after="40" w:line="240" w:lineRule="auto"/>
        <w:jc w:val="center"/>
      </w:pPr>
      <w:r>
        <w:rPr>
          <w:rFonts w:eastAsia="標楷體" w:ascii="Times New Roman" w:hAnsi="Times New Roman"/>
          <w:b/>
          <w:i w:val="0"/>
          <w:sz w:val="32"/>
        </w:rPr>
        <w:t>組　　員：</w:t>
      </w:r>
      <w:r>
        <w:rPr>
          <w:rFonts w:eastAsia="標楷體" w:ascii="Times New Roman" w:hAnsi="Times New Roman"/>
          <w:b w:val="0"/>
          <w:i w:val="0"/>
          <w:sz w:val="32"/>
        </w:rPr>
        <w:t>○○○○○  ○○○</w:t>
      </w:r>
    </w:p>
    <w:p>
      <w:pPr w:adjustRightInd="1" w:snapToGrid="0">
        <w:spacing w:before="40" w:after="40" w:line="240" w:lineRule="auto"/>
        <w:jc w:val="center"/>
      </w:pPr>
      <w:r>
        <w:rPr>
          <w:rFonts w:eastAsia="標楷體" w:ascii="Times New Roman" w:hAnsi="Times New Roman"/>
          <w:b w:val="0"/>
          <w:i w:val="0"/>
          <w:sz w:val="32"/>
        </w:rPr>
        <w:t>○○○○○  ○○○</w:t>
      </w:r>
    </w:p>
    <w:p>
      <w:pPr w:adjustRightInd="1" w:snapToGrid="0">
        <w:spacing w:before="40" w:after="40" w:line="240" w:lineRule="auto"/>
        <w:jc w:val="center"/>
      </w:pPr>
      <w:r>
        <w:rPr>
          <w:rFonts w:eastAsia="標楷體" w:ascii="Times New Roman" w:hAnsi="Times New Roman"/>
          <w:b w:val="0"/>
          <w:i w:val="0"/>
          <w:sz w:val="32"/>
        </w:rPr>
        <w:t>○○○○○  ○○○</w:t>
      </w:r>
    </w:p>
    <w:p/>
    <w:p>
      <w:pPr>
        <w:jc w:val="center"/>
      </w:pPr>
      <w:r>
        <w:rPr>
          <w:rFonts w:eastAsia="標楷體" w:ascii="Times New Roman" w:hAnsi="Times New Roman"/>
          <w:b/>
          <w:i w:val="0"/>
          <w:sz w:val="32"/>
        </w:rPr>
        <w:t>中華民國 115 年 ○ 月 ○○ 日</w:t>
      </w:r>
    </w:p>
    <w:p>
      <w:r>
        <w:br w:type="page"/>
      </w:r>
    </w:p>
    <w:p>
      <w:pPr w:adjustRightInd="1" w:snapToGrid="0">
        <w:spacing w:before="240" w:after="240" w:line="240" w:lineRule="auto"/>
        <w:jc w:val="center"/>
      </w:pPr>
      <w:r>
        <w:rPr>
          <w:rFonts w:eastAsia="標楷體" w:ascii="Times New Roman" w:hAnsi="Times New Roman"/>
          <w:b/>
          <w:i w:val="0"/>
          <w:color w:val="000000"/>
          <w:sz w:val="36"/>
        </w:rPr>
        <w:t>目　　錄</w:t>
      </w:r>
    </w:p>
    <w:p>
      <w:r>
        <w:rPr>
          <w:rFonts w:eastAsia="標楷體" w:ascii="Times New Roman" w:hAnsi="Times New Roman"/>
          <w:b w:val="0"/>
          <w:i w:val="0"/>
          <w:sz w:val="28"/>
        </w:rPr>
        <w:fldChar w:fldCharType="begin"/>
        <w:instrText xml:space="preserve">TOC \o "1-2" \h \z \u</w:instrText>
        <w:fldChar w:fldCharType="separate"/>
        <w:t>（請按 F9 更新欄位）</w:t>
        <w:fldChar w:fldCharType="end"/>
      </w:r>
    </w:p>
    <w:p>
      <w:r>
        <w:br w:type="page"/>
      </w:r>
    </w:p>
    <w:p>
      <w:pPr w:adjustRightInd="1" w:snapToGrid="0">
        <w:spacing w:before="240" w:after="240" w:line="240" w:lineRule="auto"/>
        <w:jc w:val="center"/>
      </w:pPr>
      <w:r>
        <w:rPr>
          <w:rFonts w:eastAsia="標楷體" w:ascii="Times New Roman" w:hAnsi="Times New Roman"/>
          <w:b/>
          <w:i w:val="0"/>
          <w:color w:val="000000"/>
          <w:sz w:val="36"/>
        </w:rPr>
        <w:t>圖 目 錄</w:t>
      </w:r>
    </w:p>
    <w:p>
      <w:r>
        <w:rPr>
          <w:rFonts w:eastAsia="標楷體" w:ascii="Times New Roman" w:hAnsi="Times New Roman"/>
          <w:b w:val="0"/>
          <w:i w:val="0"/>
          <w:sz w:val="28"/>
        </w:rPr>
        <w:fldChar w:fldCharType="begin"/>
        <w:instrText xml:space="preserve">TOC \h \z \c "圖"</w:instrText>
        <w:fldChar w:fldCharType="separate"/>
        <w:t>（請按 F9 更新欄位）</w:t>
        <w:fldChar w:fldCharType="end"/>
      </w:r>
    </w:p>
    <w:p>
      <w:r>
        <w:br w:type="page"/>
      </w:r>
    </w:p>
    <w:p>
      <w:pPr w:adjustRightInd="1" w:snapToGrid="0">
        <w:spacing w:before="240" w:after="240" w:line="240" w:lineRule="auto"/>
        <w:jc w:val="center"/>
      </w:pPr>
      <w:r>
        <w:rPr>
          <w:rFonts w:eastAsia="標楷體" w:ascii="Times New Roman" w:hAnsi="Times New Roman"/>
          <w:b/>
          <w:i w:val="0"/>
          <w:color w:val="000000"/>
          <w:sz w:val="36"/>
        </w:rPr>
        <w:t>表 目 錄</w:t>
      </w:r>
    </w:p>
    <w:p>
      <w:r>
        <w:rPr>
          <w:rFonts w:eastAsia="標楷體" w:ascii="Times New Roman" w:hAnsi="Times New Roman"/>
          <w:b w:val="0"/>
          <w:i w:val="0"/>
          <w:sz w:val="28"/>
        </w:rPr>
        <w:fldChar w:fldCharType="begin"/>
        <w:instrText xml:space="preserve">TOC \h \z \c "表"</w:instrText>
        <w:fldChar w:fldCharType="separate"/>
        <w:t>（請按 F9 更新欄位）</w:t>
        <w:fldChar w:fldCharType="end"/>
      </w:r>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第1章　前言</w:t>
      </w:r>
    </w:p>
    <w:p>
      <w:pPr w:adjustRightInd="1" w:snapToGrid="0">
        <w:pStyle w:val="Heading2"/>
        <w:spacing w:before="240" w:after="120" w:line="240" w:lineRule="auto"/>
        <w:jc w:val="left"/>
      </w:pPr>
      <w:r>
        <w:rPr>
          <w:rFonts w:eastAsia="標楷體" w:ascii="Times New Roman" w:hAnsi="Times New Roman"/>
          <w:b/>
          <w:i w:val="0"/>
          <w:color w:val="000000"/>
          <w:sz w:val="32"/>
        </w:rPr>
        <w:t>1-1　背景介紹</w:t>
      </w:r>
    </w:p>
    <w:p>
      <w:pPr w:adjustRightInd="1" w:snapToGrid="0">
        <w:spacing w:before="0" w:after="80" w:line="240" w:lineRule="auto"/>
        <w:jc w:val="both"/>
        <w:ind w:firstLineChars="200"/>
      </w:pPr>
      <w:r>
        <w:rPr>
          <w:rFonts w:eastAsia="標楷體" w:ascii="Times New Roman" w:hAnsi="Times New Roman"/>
          <w:b w:val="0"/>
          <w:i w:val="0"/>
          <w:sz w:val="28"/>
        </w:rPr>
        <w:t>隨著數位轉型浪潮席捲全球，企業網站已成為品牌形象與商業交易的核心載體。根據 Statista（2024）統計，全球網站數量已突破 17 億個，Google 每日索引超過 1,300 億個網頁。在此背景下，網站健康狀況直接影響搜尋引擎排名、使用者體驗與資訊安全防護能力。傳統的網站健檢工具多以單一維度切入，未能全面涵蓋 SEO（搜尋引擎優化）、AEO（答案引擎優化）、GEO（生成式引擎優化）與資安掃描等多元需求，且設置門檻較高，不利於中小企業自行部署。</w:t>
      </w:r>
    </w:p>
    <w:p>
      <w:pPr w:adjustRightInd="1" w:snapToGrid="0">
        <w:spacing w:before="0" w:after="80" w:line="240" w:lineRule="auto"/>
        <w:jc w:val="both"/>
        <w:ind w:firstLineChars="200"/>
      </w:pPr>
      <w:r>
        <w:rPr>
          <w:rFonts w:eastAsia="標楷體" w:ascii="Times New Roman" w:hAnsi="Times New Roman"/>
          <w:b w:val="0"/>
          <w:i w:val="0"/>
          <w:sz w:val="28"/>
        </w:rPr>
        <w:t>與此同時，生成式 AI（如 ChatGPT、Gemini、Perplexity）的崛起正在重塑資訊搜尋行為。根據 BrightEdge（2023）報告，約 54% 的美國成年人已開始透過 AI 聊天機器人取代傳統搜尋引擎。此一趨勢催生了對 AEO 與 GEO 優化的迫切需求——企業不僅需要在 Google 排名，更需要確保自身內容能被 AI 正確理解並引用。資安威脅亦持續升溫，根據 OWASP（2021）報告，注入攻擊、認證缺陷、安全性設定錯誤仍為最常見的網站安全問題，中小企業因缺乏專業資源而特別脆弱。</w:t>
      </w:r>
    </w:p>
    <w:p>
      <w:pPr w:adjustRightInd="1" w:snapToGrid="0">
        <w:spacing w:before="0" w:after="80" w:line="240" w:lineRule="auto"/>
        <w:jc w:val="both"/>
        <w:ind w:firstLineChars="200"/>
      </w:pPr>
      <w:r>
        <w:rPr>
          <w:rFonts w:eastAsia="標楷體" w:ascii="Times New Roman" w:hAnsi="Times New Roman"/>
          <w:b w:val="0"/>
          <w:i w:val="0"/>
          <w:sz w:val="28"/>
        </w:rPr>
        <w:t>綜合上述背景，市場迫切需要一套能同時解決 SEO、AEO、GEO 與資安檢測的整合型網站健檢平台，以低廉的成本與友善的操作介面，讓中小企業得以掌握網站的全面健康狀況。</w:t>
      </w:r>
    </w:p>
    <w:p>
      <w:pPr w:adjustRightInd="1" w:snapToGrid="0">
        <w:pStyle w:val="Heading2"/>
        <w:spacing w:before="240" w:after="120" w:line="240" w:lineRule="auto"/>
        <w:jc w:val="left"/>
      </w:pPr>
      <w:r>
        <w:rPr>
          <w:rFonts w:eastAsia="標楷體" w:ascii="Times New Roman" w:hAnsi="Times New Roman"/>
          <w:b/>
          <w:i w:val="0"/>
          <w:color w:val="000000"/>
          <w:sz w:val="32"/>
        </w:rPr>
        <w:t>1-2　動機</w:t>
      </w:r>
    </w:p>
    <w:p>
      <w:pPr w:adjustRightInd="1" w:snapToGrid="0">
        <w:spacing w:before="0" w:after="80" w:line="240" w:lineRule="auto"/>
        <w:jc w:val="both"/>
        <w:ind w:firstLineChars="200"/>
      </w:pPr>
      <w:r>
        <w:rPr>
          <w:rFonts w:eastAsia="標楷體" w:ascii="Times New Roman" w:hAnsi="Times New Roman"/>
          <w:b w:val="0"/>
          <w:i w:val="0"/>
          <w:sz w:val="28"/>
        </w:rPr>
        <w:t>本專題的動機源於對現有網站健檢工具碎片化問題的深刻觀察。市場上的主流工具各有所長但各有局限：SEO 工具（Ahrefs、SEMrush）月費高達數千元新台幣，資安掃描工具（Nmap、Dirsearch、Katana）操作門檻高且僅提供命令列介面，使用者需同時訂閱並熟悉多套工具才能獲得完整的診斷視野。此外，幾乎所有現有工具均未將 AEO 與 GEO 評估納入分析框架，而這兩個維度在生成式 AI 時代已成為網站競爭力的關鍵指標。</w:t>
      </w:r>
    </w:p>
    <w:p>
      <w:pPr w:adjustRightInd="1" w:snapToGrid="0">
        <w:spacing w:before="0" w:after="80" w:line="240" w:lineRule="auto"/>
        <w:jc w:val="both"/>
        <w:ind w:firstLineChars="200"/>
      </w:pPr>
      <w:r>
        <w:rPr>
          <w:rFonts w:eastAsia="標楷體" w:ascii="Times New Roman" w:hAnsi="Times New Roman"/>
          <w:b w:val="0"/>
          <w:i w:val="0"/>
          <w:sz w:val="28"/>
        </w:rPr>
        <w:t>有鑑於此，本團隊開發 Argus——命名源自希臘神話中擁有百眼的守衛者，象徵對網站全方位、無死角的監測能力。Argus 結合 BFS 網頁爬蟲、四維掃描引擎（SEO / AEO / GEO / 資安）與 AI 代理自動化測試，提供圖形化 Web 介面與按需點數計費模式，旨在以一站式服務降低網站健檢的技術門檻與使用成本。</w:t>
      </w:r>
    </w:p>
    <w:p>
      <w:pPr w:adjustRightInd="1" w:snapToGrid="0">
        <w:spacing w:before="0" w:after="80" w:line="240" w:lineRule="auto"/>
        <w:jc w:val="both"/>
      </w:pPr>
      <w:r>
        <w:rPr>
          <w:rFonts w:eastAsia="標楷體" w:ascii="Times New Roman" w:hAnsi="Times New Roman"/>
          <w:b w:val="0"/>
          <w:i w:val="0"/>
          <w:sz w:val="28"/>
        </w:rPr>
        <w:t>為使比較基準對等，本表選取與 Argus 同屬「雲端 SaaS 網站分析平台」之主流商業產品進行功能維度比較，而非單一用途的命令列工具。比較對象涵蓋三大 SEO 分析平台（SEMrush、Ahrefs、Moz Pro）與一資安監測平台（Sucuri），如表 1-2-1 所示：</w:t>
      </w:r>
    </w:p>
    <w:p>
      <w:pPr w:adjustRightInd="1" w:snapToGrid="0">
        <w:pStyle w:val="Caption"/>
        <w:spacing w:before="240" w:after="80" w:line="240" w:lineRule="auto"/>
        <w:jc w:val="center"/>
      </w:pPr>
      <w:r>
        <w:rPr>
          <w:rFonts w:eastAsia="標楷體" w:ascii="Times New Roman" w:hAnsi="Times New Roman"/>
          <w:b w:val="0"/>
          <w:i w:val="0"/>
          <w:sz w:val="28"/>
        </w:rPr>
        <w:t>表 1-</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主流網站分析 SaaS 平台功能特性比較表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rPr>
          <w:cantSplit/>
          <w:tblHeader w:val="true"/>
        </w:trPr>
        <w:tc>
          <w:tcPr>
            <w:tcW w:type="dxa" w:w="1757"/>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功能維度</w:t>
            </w:r>
          </w:p>
        </w:tc>
        <w:tc>
          <w:tcPr>
            <w:tcW w:type="dxa" w:w="1757"/>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Argus（本系統）</w:t>
            </w:r>
          </w:p>
        </w:tc>
        <w:tc>
          <w:tcPr>
            <w:tcW w:type="dxa" w:w="1757"/>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SEMrush</w:t>
            </w:r>
          </w:p>
        </w:tc>
        <w:tc>
          <w:tcPr>
            <w:tcW w:type="dxa" w:w="1757"/>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Ahrefs</w:t>
            </w:r>
          </w:p>
        </w:tc>
        <w:tc>
          <w:tcPr>
            <w:tcW w:type="dxa" w:w="1757"/>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Moz Pro</w:t>
            </w:r>
          </w:p>
        </w:tc>
        <w:tc>
          <w:tcPr>
            <w:tcW w:type="dxa" w:w="1757"/>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Sucuri</w:t>
            </w:r>
          </w:p>
        </w:tc>
      </w:tr>
      <w:tr>
        <w:trPr>
          <w:cantSplit/>
        </w:trPr>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平台定位</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四維網站健檢平台</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SEO／數位行銷套件</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SEO／外鏈分析</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SEO 分析平台</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網站資安防護</w:t>
            </w:r>
          </w:p>
        </w:tc>
      </w:tr>
      <w:tr>
        <w:trPr>
          <w:cantSplit/>
        </w:trPr>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部署形式</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雲端 SaaS</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雲端 SaaS</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雲端 SaaS</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雲端 SaaS</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雲端 SaaS</w:t>
            </w:r>
          </w:p>
        </w:tc>
      </w:tr>
      <w:tr>
        <w:trPr>
          <w:cantSplit/>
        </w:trPr>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SEO 健檢</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 完整</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 完整</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 完整</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 完整</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r>
      <w:tr>
        <w:trPr>
          <w:cantSplit/>
        </w:trPr>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AEO / GEO 掃描</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 首創四維評分</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t>
            </w:r>
          </w:p>
        </w:tc>
      </w:tr>
      <w:tr>
        <w:trPr>
          <w:cantSplit/>
        </w:trPr>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資安被動掃描</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 HTTP 標頭／TLS</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 惡意程式／WAF</w:t>
            </w:r>
          </w:p>
        </w:tc>
      </w:tr>
      <w:tr>
        <w:trPr>
          <w:cantSplit/>
        </w:trPr>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一站式整合四維</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 SEO+AEO+GEO+資安</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❌（僅 SEO）</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❌（僅 SEO）</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❌（僅 SEO）</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❌（僅資安）</w:t>
            </w:r>
          </w:p>
        </w:tc>
      </w:tr>
      <w:tr>
        <w:trPr>
          <w:cantSplit/>
        </w:trPr>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圖形化報告匯出</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 Word 報告</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 資安報告</w:t>
            </w:r>
          </w:p>
        </w:tc>
      </w:tr>
      <w:tr>
        <w:trPr>
          <w:cantSplit/>
        </w:trPr>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中文操作介面</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 全中文</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部分</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部分</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部分</w:t>
            </w:r>
          </w:p>
        </w:tc>
      </w:tr>
      <w:tr>
        <w:trPr>
          <w:cantSplit/>
        </w:trPr>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計費模式</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按需點數制</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月訂閱</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月訂閱</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月訂閱</w:t>
            </w:r>
          </w:p>
        </w:tc>
        <w:tc>
          <w:tcPr>
            <w:tcW w:type="dxa" w:w="1757"/>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年訂閱</w:t>
            </w:r>
          </w:p>
        </w:tc>
      </w:tr>
      <w:tr>
        <w:trPr>
          <w:cantSplit/>
        </w:trPr>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最低月費（約）</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NT$300 起</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NT$4,478</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NT$928</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NT$1,568</w:t>
            </w:r>
          </w:p>
        </w:tc>
        <w:tc>
          <w:tcPr>
            <w:tcW w:type="dxa" w:w="1757"/>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NT$533</w:t>
            </w:r>
          </w:p>
        </w:tc>
      </w:tr>
    </w:tbl>
    <w:p/>
    <w:p>
      <w:pPr w:adjustRightInd="1" w:snapToGrid="0">
        <w:spacing w:before="0" w:after="80" w:line="240" w:lineRule="auto"/>
        <w:jc w:val="both"/>
        <w:ind w:firstLineChars="200"/>
      </w:pPr>
      <w:r>
        <w:rPr>
          <w:rFonts w:eastAsia="標楷體" w:ascii="Times New Roman" w:hAnsi="Times New Roman"/>
          <w:b w:val="0"/>
          <w:i w:val="0"/>
          <w:sz w:val="28"/>
        </w:rPr>
        <w:t>資料來源（各平台官方定價頁，2026 年 5 月查得；外幣依台灣銀行牌告匯率https://rate.bot.com.tw/xrt 約 1 USD≈NT$32 換算）：SEMrush Pro US$139.95/月（https://www.semrush.com/pricing/seo/）；Ahrefs Starter US$29/月（https://ahrefs.com/pricing）；Moz Pro Starter US$49/月（https://moz.com/products/pro/pricing）；Sucuri Basic Platform US$199.99/年（https://sucuri.net/website-security-platform/signup/，折合約 NT$533/月）；Argus 為本系統按需點數定價與系統實測（2026）。</w:t>
      </w:r>
    </w:p>
    <w:p>
      <w:pPr w:adjustRightInd="1" w:snapToGrid="0">
        <w:spacing w:before="0" w:after="80" w:line="240" w:lineRule="auto"/>
        <w:jc w:val="both"/>
        <w:ind w:firstLineChars="200"/>
      </w:pPr>
      <w:r>
        <w:rPr>
          <w:rFonts w:eastAsia="標楷體" w:ascii="Times New Roman" w:hAnsi="Times New Roman"/>
          <w:b w:val="0"/>
          <w:i w:val="0"/>
          <w:sz w:val="28"/>
        </w:rPr>
        <w:t>由比較表可見，Argus 是市場上唯一同時具備四維掃描、圖形化介面、完全被動合規操作以及按需計費的整合型平台，填補了現有工具在 AEO/GEO 維度的空白。</w:t>
      </w:r>
    </w:p>
    <w:p>
      <w:pPr w:adjustRightInd="1" w:snapToGrid="0">
        <w:pStyle w:val="Heading2"/>
        <w:spacing w:before="240" w:after="120" w:line="240" w:lineRule="auto"/>
        <w:jc w:val="left"/>
      </w:pPr>
      <w:r>
        <w:rPr>
          <w:rFonts w:eastAsia="標楷體" w:ascii="Times New Roman" w:hAnsi="Times New Roman"/>
          <w:b/>
          <w:i w:val="0"/>
          <w:color w:val="000000"/>
          <w:sz w:val="32"/>
        </w:rPr>
        <w:t>1-3　系統目的與目標</w:t>
      </w:r>
    </w:p>
    <w:p>
      <w:pPr w:adjustRightInd="1" w:snapToGrid="0">
        <w:spacing w:before="0" w:after="80" w:line="240" w:lineRule="auto"/>
        <w:jc w:val="both"/>
        <w:ind w:firstLineChars="200"/>
      </w:pPr>
      <w:r>
        <w:rPr>
          <w:rFonts w:eastAsia="標楷體" w:ascii="Times New Roman" w:hAnsi="Times New Roman"/>
          <w:b w:val="0"/>
          <w:i w:val="0"/>
          <w:sz w:val="28"/>
        </w:rPr>
        <w:t>本系統的主要目的在於提供中小企業與數位行銷人員一套低門檻、高整合度的網站健康診斷平台，具體目標如下：</w:t>
      </w:r>
    </w:p>
    <w:p>
      <w:pPr w:adjustRightInd="1" w:snapToGrid="0">
        <w:spacing w:before="0" w:after="60" w:line="240" w:lineRule="auto"/>
        <w:ind w:left="567" w:hanging="340"/>
      </w:pPr>
      <w:r>
        <w:rPr>
          <w:rFonts w:eastAsia="標楷體" w:ascii="Times New Roman" w:hAnsi="Times New Roman"/>
          <w:b w:val="0"/>
          <w:i w:val="0"/>
          <w:sz w:val="28"/>
        </w:rPr>
        <w:t>➤ 建立統一的四維掃描架構：同時涵蓋 SEO 技術指標（Meta 標籤、結構化資料、頁面速度）、AEO 答案引擎優化（FAQ 結構、精選摘要適配性）、GEO 生成式引擎優化（語意密度、AI 可讀性評分）及資安被動檢測（HTTPS/HSTS/CSP/XFO 安全標頭），輸出 0–100 分綜合評分報告。</w:t>
      </w:r>
    </w:p>
    <w:p>
      <w:pPr w:adjustRightInd="1" w:snapToGrid="0">
        <w:spacing w:before="0" w:after="60" w:line="240" w:lineRule="auto"/>
        <w:ind w:left="567" w:hanging="340"/>
      </w:pPr>
      <w:r>
        <w:rPr>
          <w:rFonts w:eastAsia="標楷體" w:ascii="Times New Roman" w:hAnsi="Times New Roman"/>
          <w:b w:val="0"/>
          <w:i w:val="0"/>
          <w:sz w:val="28"/>
        </w:rPr>
        <w:t>➤ 提供按需點數計費的 SaaS 訂閱模式：以 hold→settle→refund 原子交易機制確保計費冪等安全，支援月贈點與多種購買方案，讓中小企業以 1/10 成本享受企業級診斷服務。</w:t>
      </w:r>
    </w:p>
    <w:p>
      <w:pPr w:adjustRightInd="1" w:snapToGrid="0">
        <w:spacing w:before="0" w:after="60" w:line="240" w:lineRule="auto"/>
        <w:ind w:left="567" w:hanging="340"/>
      </w:pPr>
      <w:r>
        <w:rPr>
          <w:rFonts w:eastAsia="標楷體" w:ascii="Times New Roman" w:hAnsi="Times New Roman"/>
          <w:b w:val="0"/>
          <w:i w:val="0"/>
          <w:sz w:val="28"/>
        </w:rPr>
        <w:t>➤ 整合 BFS 網頁爬蟲與 Playwright 無頭瀏覽器：以廣度優先搜尋策略深入爬取網站所有可達頁面（最大深度 max_depth、最大頁數 max_pages），確保掃描覆蓋率完整。</w:t>
      </w:r>
    </w:p>
    <w:p>
      <w:pPr w:adjustRightInd="1" w:snapToGrid="0">
        <w:spacing w:before="0" w:after="60" w:line="240" w:lineRule="auto"/>
        <w:ind w:left="567" w:hanging="340"/>
      </w:pPr>
      <w:r>
        <w:rPr>
          <w:rFonts w:eastAsia="標楷體" w:ascii="Times New Roman" w:hAnsi="Times New Roman"/>
          <w:b w:val="0"/>
          <w:i w:val="0"/>
          <w:sz w:val="28"/>
        </w:rPr>
        <w:t>➤ 輸出專業 Word 格式健檢報告（.docx）：包含各維度發現事項、建議改善行動及頁面截圖，可直接提交行銷或工程團隊執行改善。</w:t>
      </w:r>
    </w:p>
    <w:p>
      <w:pPr w:adjustRightInd="1" w:snapToGrid="0">
        <w:spacing w:before="0" w:after="60" w:line="240" w:lineRule="auto"/>
        <w:ind w:left="567" w:hanging="340"/>
      </w:pPr>
      <w:r>
        <w:rPr>
          <w:rFonts w:eastAsia="標楷體" w:ascii="Times New Roman" w:hAnsi="Times New Roman"/>
          <w:b w:val="0"/>
          <w:i w:val="0"/>
          <w:sz w:val="28"/>
        </w:rPr>
        <w:t>➤ 提供 ReactFlow 拓樸圖視覺化：呈現爬蟲涵蓋的網站頁面結構與連結關係，協助使用者掌握網站架構全貌。</w:t>
      </w:r>
    </w:p>
    <w:p>
      <w:pPr w:adjustRightInd="1" w:snapToGrid="0">
        <w:spacing w:before="0" w:after="60" w:line="240" w:lineRule="auto"/>
        <w:ind w:left="567" w:hanging="340"/>
      </w:pPr>
      <w:r>
        <w:rPr>
          <w:rFonts w:eastAsia="標楷體" w:ascii="Times New Roman" w:hAnsi="Times New Roman"/>
          <w:b w:val="0"/>
          <w:i w:val="0"/>
          <w:sz w:val="28"/>
        </w:rPr>
        <w:t>➤ 整合 Hermes-Agent 多模態 AI 代理（Phase 2）：採用 observe→think→act 循環，透過工具調用（function calling）模擬真實使用者操作，自動偵測表單、按鈕等 UX 瑕疵。</w:t>
      </w:r>
    </w:p>
    <w:p>
      <w:pPr w:adjustRightInd="1" w:snapToGrid="0">
        <w:pStyle w:val="Heading2"/>
        <w:spacing w:before="240" w:after="120" w:line="240" w:lineRule="auto"/>
        <w:jc w:val="left"/>
      </w:pPr>
      <w:r>
        <w:rPr>
          <w:rFonts w:eastAsia="標楷體" w:ascii="Times New Roman" w:hAnsi="Times New Roman"/>
          <w:b/>
          <w:i w:val="0"/>
          <w:color w:val="000000"/>
          <w:sz w:val="32"/>
        </w:rPr>
        <w:t>1-4　預期成果</w:t>
      </w:r>
    </w:p>
    <w:p>
      <w:pPr w:adjustRightInd="1" w:snapToGrid="0">
        <w:spacing w:before="0" w:after="80" w:line="240" w:lineRule="auto"/>
        <w:jc w:val="both"/>
        <w:ind w:firstLineChars="200"/>
      </w:pPr>
      <w:r>
        <w:rPr>
          <w:rFonts w:eastAsia="標楷體" w:ascii="Times New Roman" w:hAnsi="Times New Roman"/>
          <w:b w:val="0"/>
          <w:i w:val="0"/>
          <w:sz w:val="28"/>
        </w:rPr>
        <w:t>本專題預期完成下列具體成果：</w:t>
      </w:r>
    </w:p>
    <w:p>
      <w:pPr w:adjustRightInd="1" w:snapToGrid="0">
        <w:spacing w:before="0" w:after="60" w:line="240" w:lineRule="auto"/>
        <w:ind w:left="567" w:hanging="340"/>
      </w:pPr>
      <w:r>
        <w:rPr>
          <w:rFonts w:eastAsia="標楷體" w:ascii="Times New Roman" w:hAnsi="Times New Roman"/>
          <w:b w:val="0"/>
          <w:i w:val="0"/>
          <w:sz w:val="28"/>
        </w:rPr>
        <w:t>➤ 完成 Django 5.1 + DRF 3.15 後端 API 系統，提供掃描任務管理、點數計費、使用者認證（Google OAuth 2.0）與管理員後台等完整 RESTful 端點。</w:t>
      </w:r>
    </w:p>
    <w:p>
      <w:pPr w:adjustRightInd="1" w:snapToGrid="0">
        <w:spacing w:before="0" w:after="60" w:line="240" w:lineRule="auto"/>
        <w:ind w:left="567" w:hanging="340"/>
      </w:pPr>
      <w:r>
        <w:rPr>
          <w:rFonts w:eastAsia="標楷體" w:ascii="Times New Roman" w:hAnsi="Times New Roman"/>
          <w:b w:val="0"/>
          <w:i w:val="0"/>
          <w:sz w:val="28"/>
        </w:rPr>
        <w:t>➤ 完成 React 18 + Vite 5 前端 SPA，涵蓋掃描提交、結果詳情、ReactFlow 拓樸圖、點數購買與後台管理等完整使用者流程。</w:t>
      </w:r>
    </w:p>
    <w:p>
      <w:pPr w:adjustRightInd="1" w:snapToGrid="0">
        <w:spacing w:before="0" w:after="60" w:line="240" w:lineRule="auto"/>
        <w:ind w:left="567" w:hanging="340"/>
      </w:pPr>
      <w:r>
        <w:rPr>
          <w:rFonts w:eastAsia="標楷體" w:ascii="Times New Roman" w:hAnsi="Times New Roman"/>
          <w:b w:val="0"/>
          <w:i w:val="0"/>
          <w:sz w:val="28"/>
        </w:rPr>
        <w:t>➤ 完成 Playwright 1.45 BFS 爬蟲引擎，支援最大深度設定與無頭截圖存檔，並透過 Celery + Redis 實現非同步任務派發。</w:t>
      </w:r>
    </w:p>
    <w:p>
      <w:pPr w:adjustRightInd="1" w:snapToGrid="0">
        <w:spacing w:before="0" w:after="60" w:line="240" w:lineRule="auto"/>
        <w:ind w:left="567" w:hanging="340"/>
      </w:pPr>
      <w:r>
        <w:rPr>
          <w:rFonts w:eastAsia="標楷體" w:ascii="Times New Roman" w:hAnsi="Times New Roman"/>
          <w:b w:val="0"/>
          <w:i w:val="0"/>
          <w:sz w:val="28"/>
        </w:rPr>
        <w:t>➤ 完成四維掃描引擎（SEO / AEO / GEO / Security），對每一頁面輸出結構化 Finding 紀錄（類別、嚴重程度、標題、描述、改善建議），並計算 0–100 分評分。</w:t>
      </w:r>
    </w:p>
    <w:p>
      <w:pPr w:adjustRightInd="1" w:snapToGrid="0">
        <w:spacing w:before="0" w:after="60" w:line="240" w:lineRule="auto"/>
        <w:ind w:left="567" w:hanging="340"/>
      </w:pPr>
      <w:r>
        <w:rPr>
          <w:rFonts w:eastAsia="標楷體" w:ascii="Times New Roman" w:hAnsi="Times New Roman"/>
          <w:b w:val="0"/>
          <w:i w:val="0"/>
          <w:sz w:val="28"/>
        </w:rPr>
        <w:t>➤ 完成 Docker Compose 容器化部署配置（nginx、web、worker、redis、db 五容器），實現開發環境與正式部署一致性。</w:t>
      </w:r>
    </w:p>
    <w:p>
      <w:pPr w:adjustRightInd="1" w:snapToGrid="0">
        <w:spacing w:before="0" w:after="60" w:line="240" w:lineRule="auto"/>
        <w:ind w:left="567" w:hanging="340"/>
      </w:pPr>
      <w:r>
        <w:rPr>
          <w:rFonts w:eastAsia="標楷體" w:ascii="Times New Roman" w:hAnsi="Times New Roman"/>
          <w:b w:val="0"/>
          <w:i w:val="0"/>
          <w:sz w:val="28"/>
        </w:rPr>
        <w:t>➤ 完成 Word 格式健檢報告自動生成功能（python-docx），報告內含封面、目錄、各維度評分摘要、發現事項清單及頁面截圖。</w:t>
      </w:r>
    </w:p>
    <w:p>
      <w:pPr w:adjustRightInd="1" w:snapToGrid="0">
        <w:spacing w:before="0" w:after="60" w:line="240" w:lineRule="auto"/>
        <w:ind w:left="567" w:hanging="340"/>
      </w:pPr>
      <w:r>
        <w:rPr>
          <w:rFonts w:eastAsia="標楷體" w:ascii="Times New Roman" w:hAnsi="Times New Roman"/>
          <w:b w:val="0"/>
          <w:i w:val="0"/>
          <w:sz w:val="28"/>
        </w:rPr>
        <w:t>➤ 透過初評驗收，展示系統完整掃描流程：從 URL 提交、點數扣除、BFS 爬蟲、四維掃描，到結果展示與報告下載之端對端功能演示。</w:t>
      </w:r>
    </w:p>
    <w:p>
      <w:pPr w:adjustRightInd="1" w:snapToGrid="0">
        <w:spacing w:before="0" w:after="80" w:line="240" w:lineRule="auto"/>
        <w:jc w:val="both"/>
        <w:ind w:firstLineChars="200"/>
      </w:pPr>
      <w:r>
        <w:rPr>
          <w:rFonts w:eastAsia="標楷體" w:ascii="Times New Roman" w:hAnsi="Times New Roman"/>
          <w:b w:val="0"/>
          <w:i w:val="0"/>
          <w:sz w:val="28"/>
        </w:rPr>
        <w:t>最終目標為交付一套可完整運作的 Argus 網站健檢 SaaS 平台，系統支援同時管理多個掃描任務，並具備完整的點數計費稽核軌跡。</w:t>
      </w:r>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第2章　營運計畫</w:t>
      </w:r>
    </w:p>
    <w:p>
      <w:pPr w:adjustRightInd="1" w:snapToGrid="0">
        <w:pStyle w:val="Heading2"/>
        <w:spacing w:before="240" w:after="120" w:line="240" w:lineRule="auto"/>
        <w:jc w:val="left"/>
      </w:pPr>
      <w:r>
        <w:rPr>
          <w:rFonts w:eastAsia="標楷體" w:ascii="Times New Roman" w:hAnsi="Times New Roman"/>
          <w:b/>
          <w:i w:val="0"/>
          <w:color w:val="000000"/>
          <w:sz w:val="32"/>
        </w:rPr>
        <w:t>2-1　可行性分析</w:t>
      </w:r>
    </w:p>
    <w:p>
      <w:pPr w:adjustRightInd="1" w:snapToGrid="0">
        <w:spacing w:before="0" w:after="80" w:line="240" w:lineRule="auto"/>
        <w:jc w:val="both"/>
      </w:pPr>
      <w:r>
        <w:rPr>
          <w:rFonts w:eastAsia="標楷體" w:ascii="Times New Roman" w:hAnsi="Times New Roman"/>
          <w:b/>
          <w:i w:val="0"/>
          <w:sz w:val="28"/>
        </w:rPr>
        <w:t>（一）技術可行性</w:t>
      </w:r>
    </w:p>
    <w:p>
      <w:pPr w:adjustRightInd="1" w:snapToGrid="0">
        <w:spacing w:before="0" w:after="80" w:line="240" w:lineRule="auto"/>
        <w:jc w:val="both"/>
        <w:ind w:firstLineChars="200"/>
      </w:pPr>
      <w:r>
        <w:rPr>
          <w:rFonts w:eastAsia="標楷體" w:ascii="Times New Roman" w:hAnsi="Times New Roman"/>
          <w:b w:val="0"/>
          <w:i w:val="0"/>
          <w:sz w:val="28"/>
        </w:rPr>
        <w:t>本系統所採用的核心技術均為成熟的開源框架與商業 API，技術可行性高。Django 5.1 + DRF 3.15 為全球最廣泛使用的 Python Web 框架之一，擁有完善文件與社群支援（Django Software Foundation, 2024）。Playwright 1.45 由 Microsoft 官方維護，穩定性高。PostgreSQL 16 為業界標準關聯式資料庫，支援 UUID 主鍵與 JSONB 欄位。Redis 7.2 + Celery 5.4 為非同步任務佇列的成熟組合，被大型 SaaS 平台廣泛採用。</w:t>
      </w:r>
    </w:p>
    <w:p>
      <w:pPr w:adjustRightInd="1" w:snapToGrid="0">
        <w:pStyle w:val="Caption"/>
        <w:spacing w:before="240" w:after="80" w:line="240" w:lineRule="auto"/>
        <w:jc w:val="center"/>
      </w:pPr>
      <w:r>
        <w:rPr>
          <w:rFonts w:eastAsia="標楷體" w:ascii="Times New Roman" w:hAnsi="Times New Roman"/>
          <w:b w:val="0"/>
          <w:i w:val="0"/>
          <w:sz w:val="28"/>
        </w:rPr>
        <w:t>表 2-</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技術可行性評估表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評估維度</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技術選型</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成熟度</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可行性評估</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後端框架</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Django 5.1 + DRF 3.15</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高：主流框架，文件完整</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前端框架</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React 18 + Vite 5</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高：社群活躍，生態完整</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爬蟲引擎</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Playwright 1.45 + Chromium</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高：Microsoft 維護</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任務佇列</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Celery 5.4 + Redis 7.2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高：業界標準組合</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資料庫</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PostgreSQL 16</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高：企業級穩定性</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容器化</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Docker 26 + Compose 2.28</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高：部署一致性佳</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AI API</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MiniMax / Google Gemini</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中高：API 成本需控管</w:t>
            </w:r>
          </w:p>
        </w:tc>
      </w:tr>
    </w:tbl>
    <w:p/>
    <w:p>
      <w:pPr w:adjustRightInd="1" w:snapToGrid="0">
        <w:spacing w:before="0" w:after="80" w:line="240" w:lineRule="auto"/>
        <w:jc w:val="both"/>
      </w:pPr>
      <w:r>
        <w:rPr>
          <w:rFonts w:eastAsia="標楷體" w:ascii="Times New Roman" w:hAnsi="Times New Roman"/>
          <w:b/>
          <w:i w:val="0"/>
          <w:sz w:val="28"/>
        </w:rPr>
        <w:t>（二）經濟可行性</w:t>
      </w:r>
    </w:p>
    <w:p>
      <w:pPr w:adjustRightInd="1" w:snapToGrid="0">
        <w:spacing w:before="0" w:after="80" w:line="240" w:lineRule="auto"/>
        <w:jc w:val="both"/>
        <w:ind w:firstLineChars="200"/>
      </w:pPr>
      <w:r>
        <w:rPr>
          <w:rFonts w:eastAsia="標楷體" w:ascii="Times New Roman" w:hAnsi="Times New Roman"/>
          <w:b w:val="0"/>
          <w:i w:val="0"/>
          <w:sz w:val="28"/>
        </w:rPr>
        <w:t>開發採用開源技術棧（Django、React、PostgreSQL、Celery 等），無框架授權費用，顯著降低初期投入成本。營運面採雲端部署，依實際使用量計費；計費模式為按需點數制，使用者用多少付多少，無強制月費負擔。相較於下圖所列國際 SEO 工具動輒每月數千元的訂閱費，本系統具明顯成本優勢。</w:t>
      </w:r>
    </w:p>
    <w:p>
      <w:pPr w:adjustRightInd="1" w:snapToGrid="0">
        <w:spacing w:before="120" w:after="0" w:line="240" w:lineRule="auto"/>
        <w:jc w:val="center"/>
      </w:pPr>
      <w:r>
        <w:drawing>
          <wp:inline xmlns:a="http://schemas.openxmlformats.org/drawingml/2006/main" xmlns:pic="http://schemas.openxmlformats.org/drawingml/2006/picture">
            <wp:extent cx="5040000" cy="220807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208072"/>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2-</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主要競品月費比較</w:t>
      </w:r>
    </w:p>
    <w:p>
      <w:pPr w:adjustRightInd="1" w:snapToGrid="0">
        <w:spacing w:before="0" w:after="80" w:line="240" w:lineRule="auto"/>
        <w:jc w:val="both"/>
        <w:ind w:firstLineChars="200"/>
      </w:pPr>
      <w:r>
        <w:rPr>
          <w:rFonts w:eastAsia="標楷體" w:ascii="Times New Roman" w:hAnsi="Times New Roman"/>
          <w:b w:val="0"/>
          <w:i w:val="0"/>
          <w:sz w:val="28"/>
        </w:rPr>
        <w:t>資料來源：各工具官方定價頁（2026 年 5 月查得）——Google Search Console https://search.google.com/search-console/about（免費）；Screaming Frog https://www.screamingfrog.co.uk/seo-spider/pricing/（€245/年）；Ahrefs https://ahrefs.com/pricing（Starter US$29/月）；SEMrush https://www.semrush.com/pricing/seo/（Pro US$139.95/月）。外幣依台灣銀行牌告匯率（https://rate.bot.com.tw/xrt）約 1 USD≈NT$32、1 EUR≈NT$35 換算，匯率每日浮動，數值僅供比較參考。</w:t>
      </w:r>
    </w:p>
    <w:p>
      <w:pPr w:adjustRightInd="1" w:snapToGrid="0">
        <w:spacing w:before="0" w:after="80" w:line="240" w:lineRule="auto"/>
        <w:jc w:val="both"/>
      </w:pPr>
      <w:r>
        <w:rPr>
          <w:rFonts w:eastAsia="標楷體" w:ascii="Times New Roman" w:hAnsi="Times New Roman"/>
          <w:b/>
          <w:i w:val="0"/>
          <w:sz w:val="28"/>
        </w:rPr>
        <w:t>（三）操作可行性</w:t>
      </w:r>
    </w:p>
    <w:p>
      <w:pPr w:adjustRightInd="1" w:snapToGrid="0">
        <w:spacing w:before="0" w:after="80" w:line="240" w:lineRule="auto"/>
        <w:jc w:val="both"/>
        <w:ind w:firstLineChars="200"/>
      </w:pPr>
      <w:r>
        <w:rPr>
          <w:rFonts w:eastAsia="標楷體" w:ascii="Times New Roman" w:hAnsi="Times New Roman"/>
          <w:b w:val="0"/>
          <w:i w:val="0"/>
          <w:sz w:val="28"/>
        </w:rPr>
        <w:t>系統採用全圖形化 Web 介面，操作流程簡化為三步：輸入目標網址→選擇掃描模式→下載報告，平均學習時間短。台灣中小企業基數龐大——經濟部《2024 年中小企業白皮書》指出全台中小企業逾 167.4 萬家，占全體企業 98% 以上，其中具網站經營需求者為本系統的潛在使用族群，市場基礎充足。</w:t>
      </w:r>
    </w:p>
    <w:p>
      <w:pPr w:adjustRightInd="1" w:snapToGrid="0">
        <w:pStyle w:val="Heading2"/>
        <w:spacing w:before="240" w:after="120" w:line="240" w:lineRule="auto"/>
        <w:jc w:val="left"/>
      </w:pPr>
      <w:r>
        <w:rPr>
          <w:rFonts w:eastAsia="標楷體" w:ascii="Times New Roman" w:hAnsi="Times New Roman"/>
          <w:b/>
          <w:i w:val="0"/>
          <w:color w:val="000000"/>
          <w:sz w:val="32"/>
        </w:rPr>
        <w:t>2-2　商業模式（Business Model）</w:t>
      </w:r>
    </w:p>
    <w:p>
      <w:pPr w:adjustRightInd="1" w:snapToGrid="0">
        <w:spacing w:before="0" w:after="80" w:line="240" w:lineRule="auto"/>
        <w:jc w:val="both"/>
        <w:ind w:firstLineChars="200"/>
      </w:pPr>
      <w:r>
        <w:rPr>
          <w:rFonts w:eastAsia="標楷體" w:ascii="Times New Roman" w:hAnsi="Times New Roman"/>
          <w:b w:val="0"/>
          <w:i w:val="0"/>
          <w:sz w:val="28"/>
        </w:rPr>
        <w:t>本系統依據 Osterwalder &amp; Pigneur（2010）提出之商業模式畫布（BMC）框架進行分析，九大要素以標準九宮格形式呈現。</w:t>
      </w:r>
    </w:p>
    <w:p>
      <w:pPr w:adjustRightInd="1" w:snapToGrid="0">
        <w:pStyle w:val="Caption"/>
        <w:spacing w:before="240" w:after="80" w:line="240" w:lineRule="auto"/>
        <w:jc w:val="center"/>
      </w:pPr>
      <w:r>
        <w:rPr>
          <w:rFonts w:eastAsia="標楷體" w:ascii="Times New Roman" w:hAnsi="Times New Roman"/>
          <w:b w:val="0"/>
          <w:i w:val="0"/>
          <w:sz w:val="28"/>
        </w:rPr>
        <w:t>表 2-</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商業模式畫布（Business Model Canvas）</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cantSplit/>
        </w:trPr>
        <w:tc>
          <w:tcPr>
            <w:tcW w:type="dxa" w:w="2108"/>
            <w:vMerge w:val="restart"/>
            <w:shd w:val="clear" w:color="auto" w:fill="E4DFEC"/>
            <w:vAlign w:val="top"/>
          </w:tcPr>
          <w:p>
            <w:pPr w:adjustRightInd="1" w:snapToGrid="0">
              <w:spacing w:before="40" w:after="40" w:line="240" w:lineRule="auto"/>
              <w:jc w:val="left"/>
            </w:pPr>
            <w:r>
              <w:rPr>
                <w:rFonts w:eastAsia="標楷體" w:ascii="Times New Roman" w:hAnsi="Times New Roman"/>
                <w:b/>
                <w:i w:val="0"/>
                <w:sz w:val="20"/>
              </w:rPr>
              <w:t>① 關鍵夥伴</w:t>
              <w:br/>
              <w:t>(Key Partners)</w:t>
            </w:r>
          </w:p>
          <w:p>
            <w:pPr w:adjustRightInd="1" w:snapToGrid="0">
              <w:spacing w:before="0" w:after="40" w:line="240" w:lineRule="auto"/>
              <w:ind w:left="170"/>
            </w:pPr>
            <w:r>
              <w:rPr>
                <w:rFonts w:eastAsia="標楷體" w:ascii="Times New Roman" w:hAnsi="Times New Roman"/>
                <w:b w:val="0"/>
                <w:i w:val="0"/>
                <w:sz w:val="18"/>
              </w:rPr>
              <w:t>• 雲端服務商（AWS / GCP）</w:t>
            </w:r>
          </w:p>
          <w:p>
            <w:pPr w:adjustRightInd="1" w:snapToGrid="0">
              <w:spacing w:before="0" w:after="40" w:line="240" w:lineRule="auto"/>
              <w:ind w:left="170"/>
            </w:pPr>
            <w:r>
              <w:rPr>
                <w:rFonts w:eastAsia="標楷體" w:ascii="Times New Roman" w:hAnsi="Times New Roman"/>
                <w:b w:val="0"/>
                <w:i w:val="0"/>
                <w:sz w:val="18"/>
              </w:rPr>
              <w:t>• 支付閘道（綠界 ECPay）</w:t>
            </w:r>
          </w:p>
          <w:p>
            <w:pPr w:adjustRightInd="1" w:snapToGrid="0">
              <w:spacing w:before="0" w:after="40" w:line="240" w:lineRule="auto"/>
              <w:ind w:left="170"/>
            </w:pPr>
            <w:r>
              <w:rPr>
                <w:rFonts w:eastAsia="標楷體" w:ascii="Times New Roman" w:hAnsi="Times New Roman"/>
                <w:b w:val="0"/>
                <w:i w:val="0"/>
                <w:sz w:val="18"/>
              </w:rPr>
              <w:t>• AI 模型供應商（MiniMax / Google Gemini）</w:t>
            </w:r>
          </w:p>
          <w:p>
            <w:pPr w:adjustRightInd="1" w:snapToGrid="0">
              <w:spacing w:before="0" w:after="40" w:line="240" w:lineRule="auto"/>
              <w:ind w:left="170"/>
            </w:pPr>
            <w:r>
              <w:rPr>
                <w:rFonts w:eastAsia="標楷體" w:ascii="Times New Roman" w:hAnsi="Times New Roman"/>
                <w:b w:val="0"/>
                <w:i w:val="0"/>
                <w:sz w:val="18"/>
              </w:rPr>
              <w:t>• 企業客戶（白牌合作）</w:t>
            </w:r>
          </w:p>
        </w:tc>
        <w:tc>
          <w:tcPr>
            <w:tcW w:type="dxa" w:w="2108"/>
            <w:shd w:val="clear" w:color="auto" w:fill="DEEAF6"/>
            <w:vAlign w:val="top"/>
          </w:tcPr>
          <w:p>
            <w:pPr w:adjustRightInd="1" w:snapToGrid="0">
              <w:spacing w:before="40" w:after="40" w:line="240" w:lineRule="auto"/>
              <w:jc w:val="left"/>
            </w:pPr>
            <w:r>
              <w:rPr>
                <w:rFonts w:eastAsia="標楷體" w:ascii="Times New Roman" w:hAnsi="Times New Roman"/>
                <w:b/>
                <w:i w:val="0"/>
                <w:sz w:val="20"/>
              </w:rPr>
              <w:t>② 關鍵活動</w:t>
              <w:br/>
              <w:t>(Key Activities)</w:t>
            </w:r>
          </w:p>
          <w:p>
            <w:pPr w:adjustRightInd="1" w:snapToGrid="0">
              <w:spacing w:before="0" w:after="40" w:line="240" w:lineRule="auto"/>
              <w:ind w:left="170"/>
            </w:pPr>
            <w:r>
              <w:rPr>
                <w:rFonts w:eastAsia="標楷體" w:ascii="Times New Roman" w:hAnsi="Times New Roman"/>
                <w:b w:val="0"/>
                <w:i w:val="0"/>
                <w:sz w:val="18"/>
              </w:rPr>
              <w:t>• 系統開發與日常維運</w:t>
            </w:r>
          </w:p>
          <w:p>
            <w:pPr w:adjustRightInd="1" w:snapToGrid="0">
              <w:spacing w:before="0" w:after="40" w:line="240" w:lineRule="auto"/>
              <w:ind w:left="170"/>
            </w:pPr>
            <w:r>
              <w:rPr>
                <w:rFonts w:eastAsia="標楷體" w:ascii="Times New Roman" w:hAnsi="Times New Roman"/>
                <w:b w:val="0"/>
                <w:i w:val="0"/>
                <w:sz w:val="18"/>
              </w:rPr>
              <w:t>• 四維掃描引擎持續優化</w:t>
            </w:r>
          </w:p>
          <w:p>
            <w:pPr w:adjustRightInd="1" w:snapToGrid="0">
              <w:spacing w:before="0" w:after="40" w:line="240" w:lineRule="auto"/>
              <w:ind w:left="170"/>
            </w:pPr>
            <w:r>
              <w:rPr>
                <w:rFonts w:eastAsia="標楷體" w:ascii="Times New Roman" w:hAnsi="Times New Roman"/>
                <w:b w:val="0"/>
                <w:i w:val="0"/>
                <w:sz w:val="18"/>
              </w:rPr>
              <w:t>• AI 代理（Hermes）訓練迭代</w:t>
            </w:r>
          </w:p>
          <w:p>
            <w:pPr w:adjustRightInd="1" w:snapToGrid="0">
              <w:spacing w:before="0" w:after="40" w:line="240" w:lineRule="auto"/>
              <w:ind w:left="170"/>
            </w:pPr>
            <w:r>
              <w:rPr>
                <w:rFonts w:eastAsia="標楷體" w:ascii="Times New Roman" w:hAnsi="Times New Roman"/>
                <w:b w:val="0"/>
                <w:i w:val="0"/>
                <w:sz w:val="18"/>
              </w:rPr>
              <w:t>• 客戶支援與教育訓練</w:t>
            </w:r>
          </w:p>
        </w:tc>
        <w:tc>
          <w:tcPr>
            <w:tcW w:type="dxa" w:w="2108"/>
            <w:vMerge w:val="restart"/>
            <w:shd w:val="clear" w:color="auto" w:fill="E2EFDA"/>
            <w:vAlign w:val="top"/>
          </w:tcPr>
          <w:p>
            <w:pPr w:adjustRightInd="1" w:snapToGrid="0">
              <w:spacing w:before="40" w:after="40" w:line="240" w:lineRule="auto"/>
              <w:jc w:val="left"/>
            </w:pPr>
            <w:r>
              <w:rPr>
                <w:rFonts w:eastAsia="標楷體" w:ascii="Times New Roman" w:hAnsi="Times New Roman"/>
                <w:b/>
                <w:i w:val="0"/>
                <w:sz w:val="20"/>
              </w:rPr>
              <w:t>④ 價值主張</w:t>
              <w:br/>
              <w:t>(Value Propositions)</w:t>
            </w:r>
          </w:p>
          <w:p>
            <w:pPr w:adjustRightInd="1" w:snapToGrid="0">
              <w:spacing w:before="0" w:after="40" w:line="240" w:lineRule="auto"/>
              <w:ind w:left="170"/>
            </w:pPr>
            <w:r>
              <w:rPr>
                <w:rFonts w:eastAsia="標楷體" w:ascii="Times New Roman" w:hAnsi="Times New Roman"/>
                <w:b w:val="0"/>
                <w:i w:val="0"/>
                <w:sz w:val="18"/>
              </w:rPr>
              <w:t>• 一站式四維網站健檢（SEO+AEO+GEO+資安）</w:t>
            </w:r>
          </w:p>
          <w:p>
            <w:pPr w:adjustRightInd="1" w:snapToGrid="0">
              <w:spacing w:before="0" w:after="40" w:line="240" w:lineRule="auto"/>
              <w:ind w:left="170"/>
            </w:pPr>
            <w:r>
              <w:rPr>
                <w:rFonts w:eastAsia="標楷體" w:ascii="Times New Roman" w:hAnsi="Times New Roman"/>
                <w:b w:val="0"/>
                <w:i w:val="0"/>
                <w:sz w:val="18"/>
              </w:rPr>
              <w:t>• AI 代理自動 UX 測試（Phase 2）</w:t>
            </w:r>
          </w:p>
          <w:p>
            <w:pPr w:adjustRightInd="1" w:snapToGrid="0">
              <w:spacing w:before="0" w:after="40" w:line="240" w:lineRule="auto"/>
              <w:ind w:left="170"/>
            </w:pPr>
            <w:r>
              <w:rPr>
                <w:rFonts w:eastAsia="標楷體" w:ascii="Times New Roman" w:hAnsi="Times New Roman"/>
                <w:b w:val="0"/>
                <w:i w:val="0"/>
                <w:sz w:val="18"/>
              </w:rPr>
              <w:t>• 大幅降低工具訂閱成本（按需點數制）</w:t>
            </w:r>
          </w:p>
          <w:p>
            <w:pPr w:adjustRightInd="1" w:snapToGrid="0">
              <w:spacing w:before="0" w:after="40" w:line="240" w:lineRule="auto"/>
              <w:ind w:left="170"/>
            </w:pPr>
            <w:r>
              <w:rPr>
                <w:rFonts w:eastAsia="標楷體" w:ascii="Times New Roman" w:hAnsi="Times New Roman"/>
                <w:b w:val="0"/>
                <w:i w:val="0"/>
                <w:sz w:val="18"/>
              </w:rPr>
              <w:t>• Word 格式專業報告輸出</w:t>
            </w:r>
          </w:p>
        </w:tc>
        <w:tc>
          <w:tcPr>
            <w:tcW w:type="dxa" w:w="2108"/>
            <w:shd w:val="clear" w:color="auto" w:fill="FFF2CC"/>
            <w:vAlign w:val="top"/>
          </w:tcPr>
          <w:p>
            <w:pPr w:adjustRightInd="1" w:snapToGrid="0">
              <w:spacing w:before="40" w:after="40" w:line="240" w:lineRule="auto"/>
              <w:jc w:val="left"/>
            </w:pPr>
            <w:r>
              <w:rPr>
                <w:rFonts w:eastAsia="標楷體" w:ascii="Times New Roman" w:hAnsi="Times New Roman"/>
                <w:b/>
                <w:i w:val="0"/>
                <w:sz w:val="20"/>
              </w:rPr>
              <w:t>⑤ 顧客關係</w:t>
              <w:br/>
              <w:t>(Customer Relationships)</w:t>
            </w:r>
          </w:p>
          <w:p>
            <w:pPr w:adjustRightInd="1" w:snapToGrid="0">
              <w:spacing w:before="0" w:after="40" w:line="240" w:lineRule="auto"/>
              <w:ind w:left="170"/>
            </w:pPr>
            <w:r>
              <w:rPr>
                <w:rFonts w:eastAsia="標楷體" w:ascii="Times New Roman" w:hAnsi="Times New Roman"/>
                <w:b w:val="0"/>
                <w:i w:val="0"/>
                <w:sz w:val="18"/>
              </w:rPr>
              <w:t>• 自助式 SaaS 自動化流程</w:t>
            </w:r>
          </w:p>
          <w:p>
            <w:pPr w:adjustRightInd="1" w:snapToGrid="0">
              <w:spacing w:before="0" w:after="40" w:line="240" w:lineRule="auto"/>
              <w:ind w:left="170"/>
            </w:pPr>
            <w:r>
              <w:rPr>
                <w:rFonts w:eastAsia="標楷體" w:ascii="Times New Roman" w:hAnsi="Times New Roman"/>
                <w:b w:val="0"/>
                <w:i w:val="0"/>
                <w:sz w:val="18"/>
              </w:rPr>
              <w:t>• 線上即時客服支援</w:t>
            </w:r>
          </w:p>
          <w:p>
            <w:pPr w:adjustRightInd="1" w:snapToGrid="0">
              <w:spacing w:before="0" w:after="40" w:line="240" w:lineRule="auto"/>
              <w:ind w:left="170"/>
            </w:pPr>
            <w:r>
              <w:rPr>
                <w:rFonts w:eastAsia="標楷體" w:ascii="Times New Roman" w:hAnsi="Times New Roman"/>
                <w:b w:val="0"/>
                <w:i w:val="0"/>
                <w:sz w:val="18"/>
              </w:rPr>
              <w:t>• 電子郵件行銷活動</w:t>
            </w:r>
          </w:p>
          <w:p>
            <w:pPr w:adjustRightInd="1" w:snapToGrid="0">
              <w:spacing w:before="0" w:after="40" w:line="240" w:lineRule="auto"/>
              <w:ind w:left="170"/>
            </w:pPr>
            <w:r>
              <w:rPr>
                <w:rFonts w:eastAsia="標楷體" w:ascii="Times New Roman" w:hAnsi="Times New Roman"/>
                <w:b w:val="0"/>
                <w:i w:val="0"/>
                <w:sz w:val="18"/>
              </w:rPr>
              <w:t>• 使用者社群與論壇</w:t>
            </w:r>
          </w:p>
        </w:tc>
        <w:tc>
          <w:tcPr>
            <w:tcW w:type="dxa" w:w="2108"/>
            <w:vMerge w:val="restart"/>
            <w:shd w:val="clear" w:color="auto" w:fill="FCE4EC"/>
            <w:vAlign w:val="top"/>
          </w:tcPr>
          <w:p>
            <w:pPr w:adjustRightInd="1" w:snapToGrid="0">
              <w:spacing w:before="40" w:after="40" w:line="240" w:lineRule="auto"/>
              <w:jc w:val="left"/>
            </w:pPr>
            <w:r>
              <w:rPr>
                <w:rFonts w:eastAsia="標楷體" w:ascii="Times New Roman" w:hAnsi="Times New Roman"/>
                <w:b/>
                <w:i w:val="0"/>
                <w:sz w:val="20"/>
              </w:rPr>
              <w:t>⑦ 目標客群</w:t>
              <w:br/>
              <w:t>(Customer Segments)</w:t>
            </w:r>
          </w:p>
          <w:p>
            <w:pPr w:adjustRightInd="1" w:snapToGrid="0">
              <w:spacing w:before="0" w:after="40" w:line="240" w:lineRule="auto"/>
              <w:ind w:left="170"/>
            </w:pPr>
            <w:r>
              <w:rPr>
                <w:rFonts w:eastAsia="標楷體" w:ascii="Times New Roman" w:hAnsi="Times New Roman"/>
                <w:b w:val="0"/>
                <w:i w:val="0"/>
                <w:sz w:val="18"/>
              </w:rPr>
              <w:t>• 中小企業主（電商/品牌網站）</w:t>
            </w:r>
          </w:p>
          <w:p>
            <w:pPr w:adjustRightInd="1" w:snapToGrid="0">
              <w:spacing w:before="0" w:after="40" w:line="240" w:lineRule="auto"/>
              <w:ind w:left="170"/>
            </w:pPr>
            <w:r>
              <w:rPr>
                <w:rFonts w:eastAsia="標楷體" w:ascii="Times New Roman" w:hAnsi="Times New Roman"/>
                <w:b w:val="0"/>
                <w:i w:val="0"/>
                <w:sz w:val="18"/>
              </w:rPr>
              <w:t>• 數位行銷人員與代理商</w:t>
            </w:r>
          </w:p>
          <w:p>
            <w:pPr w:adjustRightInd="1" w:snapToGrid="0">
              <w:spacing w:before="0" w:after="40" w:line="240" w:lineRule="auto"/>
              <w:ind w:left="170"/>
            </w:pPr>
            <w:r>
              <w:rPr>
                <w:rFonts w:eastAsia="標楷體" w:ascii="Times New Roman" w:hAnsi="Times New Roman"/>
                <w:b w:val="0"/>
                <w:i w:val="0"/>
                <w:sz w:val="18"/>
              </w:rPr>
              <w:t>• 網站開發者與自由接案者</w:t>
            </w:r>
          </w:p>
          <w:p>
            <w:pPr w:adjustRightInd="1" w:snapToGrid="0">
              <w:spacing w:before="0" w:after="40" w:line="240" w:lineRule="auto"/>
              <w:ind w:left="170"/>
            </w:pPr>
            <w:r>
              <w:rPr>
                <w:rFonts w:eastAsia="標楷體" w:ascii="Times New Roman" w:hAnsi="Times New Roman"/>
                <w:b w:val="0"/>
                <w:i w:val="0"/>
                <w:sz w:val="18"/>
              </w:rPr>
              <w:t>• 企業 IT / 資安部門</w:t>
            </w:r>
          </w:p>
        </w:tc>
      </w:tr>
      <w:tr>
        <w:trPr>
          <w:cantSplit/>
        </w:trPr>
        <w:tc>
          <w:tcPr>
            <w:tcW w:type="dxa" w:w="2108"/>
            <w:vMerge/>
          </w:tcPr>
          <w:p/>
        </w:tc>
        <w:tc>
          <w:tcPr>
            <w:tcW w:type="dxa" w:w="2108"/>
            <w:shd w:val="clear" w:color="auto" w:fill="DEEAF6"/>
            <w:vAlign w:val="top"/>
          </w:tcPr>
          <w:p>
            <w:pPr w:adjustRightInd="1" w:snapToGrid="0">
              <w:spacing w:before="40" w:after="40" w:line="240" w:lineRule="auto"/>
              <w:jc w:val="left"/>
            </w:pPr>
            <w:r>
              <w:rPr>
                <w:rFonts w:eastAsia="標楷體" w:ascii="Times New Roman" w:hAnsi="Times New Roman"/>
                <w:b/>
                <w:i w:val="0"/>
                <w:sz w:val="20"/>
              </w:rPr>
              <w:t>③ 關鍵資源</w:t>
              <w:br/>
              <w:t>(Key Resources)</w:t>
            </w:r>
          </w:p>
          <w:p>
            <w:pPr w:adjustRightInd="1" w:snapToGrid="0">
              <w:spacing w:before="0" w:after="40" w:line="240" w:lineRule="auto"/>
              <w:ind w:left="170"/>
            </w:pPr>
            <w:r>
              <w:rPr>
                <w:rFonts w:eastAsia="標楷體" w:ascii="Times New Roman" w:hAnsi="Times New Roman"/>
                <w:b w:val="0"/>
                <w:i w:val="0"/>
                <w:sz w:val="18"/>
              </w:rPr>
              <w:t>• 掃描引擎核心技術</w:t>
            </w:r>
          </w:p>
          <w:p>
            <w:pPr w:adjustRightInd="1" w:snapToGrid="0">
              <w:spacing w:before="0" w:after="40" w:line="240" w:lineRule="auto"/>
              <w:ind w:left="170"/>
            </w:pPr>
            <w:r>
              <w:rPr>
                <w:rFonts w:eastAsia="標楷體" w:ascii="Times New Roman" w:hAnsi="Times New Roman"/>
                <w:b w:val="0"/>
                <w:i w:val="0"/>
                <w:sz w:val="18"/>
              </w:rPr>
              <w:t>• Hermes-Agent AI 模組</w:t>
            </w:r>
          </w:p>
          <w:p>
            <w:pPr w:adjustRightInd="1" w:snapToGrid="0">
              <w:spacing w:before="0" w:after="40" w:line="240" w:lineRule="auto"/>
              <w:ind w:left="170"/>
            </w:pPr>
            <w:r>
              <w:rPr>
                <w:rFonts w:eastAsia="標楷體" w:ascii="Times New Roman" w:hAnsi="Times New Roman"/>
                <w:b w:val="0"/>
                <w:i w:val="0"/>
                <w:sz w:val="18"/>
              </w:rPr>
              <w:t>• 雲端基礎設施（Docker）</w:t>
            </w:r>
          </w:p>
          <w:p>
            <w:pPr w:adjustRightInd="1" w:snapToGrid="0">
              <w:spacing w:before="0" w:after="40" w:line="240" w:lineRule="auto"/>
              <w:ind w:left="170"/>
            </w:pPr>
            <w:r>
              <w:rPr>
                <w:rFonts w:eastAsia="標楷體" w:ascii="Times New Roman" w:hAnsi="Times New Roman"/>
                <w:b w:val="0"/>
                <w:i w:val="0"/>
                <w:sz w:val="18"/>
              </w:rPr>
              <w:t>• 開發團隊人力</w:t>
            </w:r>
          </w:p>
        </w:tc>
        <w:tc>
          <w:tcPr>
            <w:tcW w:type="dxa" w:w="2108"/>
            <w:vMerge/>
          </w:tcPr>
          <w:p/>
        </w:tc>
        <w:tc>
          <w:tcPr>
            <w:tcW w:type="dxa" w:w="2108"/>
            <w:shd w:val="clear" w:color="auto" w:fill="FFF2CC"/>
            <w:vAlign w:val="top"/>
          </w:tcPr>
          <w:p>
            <w:pPr w:adjustRightInd="1" w:snapToGrid="0">
              <w:spacing w:before="40" w:after="40" w:line="240" w:lineRule="auto"/>
              <w:jc w:val="left"/>
            </w:pPr>
            <w:r>
              <w:rPr>
                <w:rFonts w:eastAsia="標楷體" w:ascii="Times New Roman" w:hAnsi="Times New Roman"/>
                <w:b/>
                <w:i w:val="0"/>
                <w:sz w:val="20"/>
              </w:rPr>
              <w:t>⑥ 通路</w:t>
              <w:br/>
              <w:t>(Channels)</w:t>
            </w:r>
          </w:p>
          <w:p>
            <w:pPr w:adjustRightInd="1" w:snapToGrid="0">
              <w:spacing w:before="0" w:after="40" w:line="240" w:lineRule="auto"/>
              <w:ind w:left="170"/>
            </w:pPr>
            <w:r>
              <w:rPr>
                <w:rFonts w:eastAsia="標楷體" w:ascii="Times New Roman" w:hAnsi="Times New Roman"/>
                <w:b w:val="0"/>
                <w:i w:val="0"/>
                <w:sz w:val="18"/>
              </w:rPr>
              <w:t>• 官方網站直接銷售</w:t>
            </w:r>
          </w:p>
          <w:p>
            <w:pPr w:adjustRightInd="1" w:snapToGrid="0">
              <w:spacing w:before="0" w:after="40" w:line="240" w:lineRule="auto"/>
              <w:ind w:left="170"/>
            </w:pPr>
            <w:r>
              <w:rPr>
                <w:rFonts w:eastAsia="標楷體" w:ascii="Times New Roman" w:hAnsi="Times New Roman"/>
                <w:b w:val="0"/>
                <w:i w:val="0"/>
                <w:sz w:val="18"/>
              </w:rPr>
              <w:t>• 數位行銷代理商合作</w:t>
            </w:r>
          </w:p>
          <w:p>
            <w:pPr w:adjustRightInd="1" w:snapToGrid="0">
              <w:spacing w:before="0" w:after="40" w:line="240" w:lineRule="auto"/>
              <w:ind w:left="170"/>
            </w:pPr>
            <w:r>
              <w:rPr>
                <w:rFonts w:eastAsia="標楷體" w:ascii="Times New Roman" w:hAnsi="Times New Roman"/>
                <w:b w:val="0"/>
                <w:i w:val="0"/>
                <w:sz w:val="18"/>
              </w:rPr>
              <w:t>• GitHub 開源社群曝光</w:t>
            </w:r>
          </w:p>
          <w:p>
            <w:pPr w:adjustRightInd="1" w:snapToGrid="0">
              <w:spacing w:before="0" w:after="40" w:line="240" w:lineRule="auto"/>
              <w:ind w:left="170"/>
            </w:pPr>
            <w:r>
              <w:rPr>
                <w:rFonts w:eastAsia="標楷體" w:ascii="Times New Roman" w:hAnsi="Times New Roman"/>
                <w:b w:val="0"/>
                <w:i w:val="0"/>
                <w:sz w:val="18"/>
              </w:rPr>
              <w:t>• 搜尋引擎廣告（SEA）</w:t>
            </w:r>
          </w:p>
        </w:tc>
        <w:tc>
          <w:tcPr>
            <w:tcW w:type="dxa" w:w="2108"/>
            <w:vMerge/>
          </w:tcPr>
          <w:p/>
        </w:tc>
      </w:tr>
      <w:tr>
        <w:trPr>
          <w:cantSplit/>
        </w:trPr>
        <w:tc>
          <w:tcPr>
            <w:tcW w:type="dxa" w:w="4216"/>
            <w:gridSpan w:val="2"/>
            <w:shd w:val="clear" w:color="auto" w:fill="F2F2F2"/>
            <w:vAlign w:val="top"/>
          </w:tcPr>
          <w:p>
            <w:pPr w:adjustRightInd="1" w:snapToGrid="0">
              <w:spacing w:before="40" w:after="40" w:line="240" w:lineRule="auto"/>
              <w:jc w:val="left"/>
            </w:pPr>
            <w:r>
              <w:rPr>
                <w:rFonts w:eastAsia="標楷體" w:ascii="Times New Roman" w:hAnsi="Times New Roman"/>
                <w:b/>
                <w:i w:val="0"/>
                <w:sz w:val="20"/>
              </w:rPr>
              <w:t>⑧ 成本結構</w:t>
              <w:br/>
              <w:t>(Cost Structure)</w:t>
            </w:r>
          </w:p>
          <w:p>
            <w:pPr w:adjustRightInd="1" w:snapToGrid="0">
              <w:spacing w:before="0" w:after="40" w:line="240" w:lineRule="auto"/>
              <w:ind w:left="170"/>
            </w:pPr>
            <w:r>
              <w:rPr>
                <w:rFonts w:eastAsia="標楷體" w:ascii="Times New Roman" w:hAnsi="Times New Roman"/>
                <w:b w:val="0"/>
                <w:i w:val="0"/>
                <w:sz w:val="18"/>
              </w:rPr>
              <w:t>• 雲端伺服器費用（AWS EC2 / RDS）</w:t>
            </w:r>
          </w:p>
          <w:p>
            <w:pPr w:adjustRightInd="1" w:snapToGrid="0">
              <w:spacing w:before="0" w:after="40" w:line="240" w:lineRule="auto"/>
              <w:ind w:left="170"/>
            </w:pPr>
            <w:r>
              <w:rPr>
                <w:rFonts w:eastAsia="標楷體" w:ascii="Times New Roman" w:hAnsi="Times New Roman"/>
                <w:b w:val="0"/>
                <w:i w:val="0"/>
                <w:sz w:val="18"/>
              </w:rPr>
              <w:t>• AI API 呼叫費用（MiniMax / Gemini）</w:t>
            </w:r>
          </w:p>
          <w:p>
            <w:pPr w:adjustRightInd="1" w:snapToGrid="0">
              <w:spacing w:before="0" w:after="40" w:line="240" w:lineRule="auto"/>
              <w:ind w:left="170"/>
            </w:pPr>
            <w:r>
              <w:rPr>
                <w:rFonts w:eastAsia="標楷體" w:ascii="Times New Roman" w:hAnsi="Times New Roman"/>
                <w:b w:val="0"/>
                <w:i w:val="0"/>
                <w:sz w:val="18"/>
              </w:rPr>
              <w:t>• 開發與維護人力成本</w:t>
            </w:r>
          </w:p>
          <w:p>
            <w:pPr w:adjustRightInd="1" w:snapToGrid="0">
              <w:spacing w:before="0" w:after="40" w:line="240" w:lineRule="auto"/>
              <w:ind w:left="170"/>
            </w:pPr>
            <w:r>
              <w:rPr>
                <w:rFonts w:eastAsia="標楷體" w:ascii="Times New Roman" w:hAnsi="Times New Roman"/>
                <w:b w:val="0"/>
                <w:i w:val="0"/>
                <w:sz w:val="18"/>
              </w:rPr>
              <w:t>• 支付手續費（ECPay）</w:t>
            </w:r>
          </w:p>
        </w:tc>
        <w:tc>
          <w:tcPr>
            <w:tcW w:type="dxa" w:w="6324"/>
            <w:gridSpan w:val="3"/>
            <w:shd w:val="clear" w:color="auto" w:fill="F2F2F2"/>
            <w:vAlign w:val="top"/>
          </w:tcPr>
          <w:p>
            <w:pPr w:adjustRightInd="1" w:snapToGrid="0">
              <w:spacing w:before="40" w:after="40" w:line="240" w:lineRule="auto"/>
              <w:jc w:val="left"/>
            </w:pPr>
            <w:r>
              <w:rPr>
                <w:rFonts w:eastAsia="標楷體" w:ascii="Times New Roman" w:hAnsi="Times New Roman"/>
                <w:b/>
                <w:i w:val="0"/>
                <w:sz w:val="20"/>
              </w:rPr>
              <w:t>⑨ 收益流</w:t>
              <w:br/>
              <w:t>(Revenue Streams)</w:t>
            </w:r>
          </w:p>
          <w:p>
            <w:pPr w:adjustRightInd="1" w:snapToGrid="0">
              <w:spacing w:before="0" w:after="40" w:line="240" w:lineRule="auto"/>
              <w:ind w:left="170"/>
            </w:pPr>
            <w:r>
              <w:rPr>
                <w:rFonts w:eastAsia="標楷體" w:ascii="Times New Roman" w:hAnsi="Times New Roman"/>
                <w:b w:val="0"/>
                <w:i w:val="0"/>
                <w:sz w:val="18"/>
              </w:rPr>
              <w:t>• 點數購買（主要，按需付費）</w:t>
            </w:r>
          </w:p>
          <w:p>
            <w:pPr w:adjustRightInd="1" w:snapToGrid="0">
              <w:spacing w:before="0" w:after="40" w:line="240" w:lineRule="auto"/>
              <w:ind w:left="170"/>
            </w:pPr>
            <w:r>
              <w:rPr>
                <w:rFonts w:eastAsia="標楷體" w:ascii="Times New Roman" w:hAnsi="Times New Roman"/>
                <w:b w:val="0"/>
                <w:i w:val="0"/>
                <w:sz w:val="18"/>
              </w:rPr>
              <w:t>• 企業月訂閱方案（固定費用）</w:t>
            </w:r>
          </w:p>
          <w:p>
            <w:pPr w:adjustRightInd="1" w:snapToGrid="0">
              <w:spacing w:before="0" w:after="40" w:line="240" w:lineRule="auto"/>
              <w:ind w:left="170"/>
            </w:pPr>
            <w:r>
              <w:rPr>
                <w:rFonts w:eastAsia="標楷體" w:ascii="Times New Roman" w:hAnsi="Times New Roman"/>
                <w:b w:val="0"/>
                <w:i w:val="0"/>
                <w:sz w:val="18"/>
              </w:rPr>
              <w:t>• 客製化健檢報告服務</w:t>
            </w:r>
          </w:p>
          <w:p>
            <w:pPr w:adjustRightInd="1" w:snapToGrid="0">
              <w:spacing w:before="0" w:after="40" w:line="240" w:lineRule="auto"/>
              <w:ind w:left="170"/>
            </w:pPr>
            <w:r>
              <w:rPr>
                <w:rFonts w:eastAsia="標楷體" w:ascii="Times New Roman" w:hAnsi="Times New Roman"/>
                <w:b w:val="0"/>
                <w:i w:val="0"/>
                <w:sz w:val="18"/>
              </w:rPr>
              <w:t>• 白牌 API 授權（B2B）</w:t>
            </w:r>
          </w:p>
        </w:tc>
      </w:tr>
    </w:tbl>
    <w:p/>
    <w:p>
      <w:pPr w:adjustRightInd="1" w:snapToGrid="0">
        <w:pStyle w:val="Heading2"/>
        <w:spacing w:before="240" w:after="120" w:line="240" w:lineRule="auto"/>
        <w:jc w:val="left"/>
      </w:pPr>
      <w:r>
        <w:rPr>
          <w:rFonts w:eastAsia="標楷體" w:ascii="Times New Roman" w:hAnsi="Times New Roman"/>
          <w:b/>
          <w:i w:val="0"/>
          <w:color w:val="000000"/>
          <w:sz w:val="32"/>
        </w:rPr>
        <w:t>2-3　市場分析（STP）</w:t>
      </w:r>
    </w:p>
    <w:p>
      <w:pPr w:adjustRightInd="1" w:snapToGrid="0">
        <w:spacing w:before="0" w:after="80" w:line="240" w:lineRule="auto"/>
        <w:jc w:val="both"/>
        <w:ind w:firstLineChars="200"/>
      </w:pPr>
      <w:r>
        <w:rPr>
          <w:rFonts w:eastAsia="標楷體" w:ascii="Times New Roman" w:hAnsi="Times New Roman"/>
          <w:b w:val="0"/>
          <w:i w:val="0"/>
          <w:sz w:val="28"/>
        </w:rPr>
        <w:t>本系統採用 STP 框架（Segmentation、Targeting、Positioning）系統性定義目標市場與競爭定位。</w:t>
      </w:r>
    </w:p>
    <w:p>
      <w:pPr w:adjustRightInd="1" w:snapToGrid="0">
        <w:spacing w:before="0" w:after="80" w:line="240" w:lineRule="auto"/>
        <w:jc w:val="both"/>
      </w:pPr>
      <w:r>
        <w:rPr>
          <w:rFonts w:eastAsia="標楷體" w:ascii="Times New Roman" w:hAnsi="Times New Roman"/>
          <w:b/>
          <w:i w:val="0"/>
          <w:sz w:val="28"/>
        </w:rPr>
        <w:t>➤ 市場區隔（Segmentation）</w:t>
      </w:r>
    </w:p>
    <w:p>
      <w:pPr w:adjustRightInd="1" w:snapToGrid="0">
        <w:spacing w:before="0" w:after="60" w:line="240" w:lineRule="auto"/>
        <w:ind w:left="567" w:hanging="340"/>
      </w:pPr>
      <w:r>
        <w:rPr>
          <w:rFonts w:eastAsia="標楷體" w:ascii="Times New Roman" w:hAnsi="Times New Roman"/>
          <w:b w:val="0"/>
          <w:i w:val="0"/>
          <w:sz w:val="28"/>
        </w:rPr>
        <w:t>➤ 地理區隔：以台灣及東南亞繁體中文市場為主，次要目標為日韓英語市場。台灣中小企業逾 167.4 萬家（經濟部《2024 年中小企業白皮書》），具網站經營與健檢需求者眾。</w:t>
      </w:r>
    </w:p>
    <w:p>
      <w:pPr w:adjustRightInd="1" w:snapToGrid="0">
        <w:spacing w:before="0" w:after="60" w:line="240" w:lineRule="auto"/>
        <w:ind w:left="567" w:hanging="340"/>
      </w:pPr>
      <w:r>
        <w:rPr>
          <w:rFonts w:eastAsia="標楷體" w:ascii="Times New Roman" w:hAnsi="Times New Roman"/>
          <w:b w:val="0"/>
          <w:i w:val="0"/>
          <w:sz w:val="28"/>
        </w:rPr>
        <w:t>➤ 人口區隔：25–45 歲，具數位行銷或網站開發背景之專業人士；企業規模以 10–500 人之中小型企業為主。</w:t>
      </w:r>
    </w:p>
    <w:p>
      <w:pPr w:adjustRightInd="1" w:snapToGrid="0">
        <w:spacing w:before="0" w:after="60" w:line="240" w:lineRule="auto"/>
        <w:ind w:left="567" w:hanging="340"/>
      </w:pPr>
      <w:r>
        <w:rPr>
          <w:rFonts w:eastAsia="標楷體" w:ascii="Times New Roman" w:hAnsi="Times New Roman"/>
          <w:b w:val="0"/>
          <w:i w:val="0"/>
          <w:sz w:val="28"/>
        </w:rPr>
        <w:t>➤ 行為區隔：曾使用過 Google Search Console 或 SEO 工具，具數據導向決策習慣，對網站效能與安全性有所關注。</w:t>
      </w:r>
    </w:p>
    <w:p>
      <w:pPr w:adjustRightInd="1" w:snapToGrid="0">
        <w:spacing w:before="0" w:after="60" w:line="240" w:lineRule="auto"/>
        <w:ind w:left="567" w:hanging="340"/>
      </w:pPr>
      <w:r>
        <w:rPr>
          <w:rFonts w:eastAsia="標楷體" w:ascii="Times New Roman" w:hAnsi="Times New Roman"/>
          <w:b w:val="0"/>
          <w:i w:val="0"/>
          <w:sz w:val="28"/>
        </w:rPr>
        <w:t>➤ 心理區隔：重視效率、成本意識強，傾向訂閱制 SaaS，不願為多套工具付費，期望單一平台解決多元問題。</w:t>
      </w:r>
    </w:p>
    <w:p>
      <w:pPr w:adjustRightInd="1" w:snapToGrid="0">
        <w:spacing w:before="0" w:after="80" w:line="240" w:lineRule="auto"/>
        <w:jc w:val="both"/>
      </w:pPr>
      <w:r>
        <w:rPr>
          <w:rFonts w:eastAsia="標楷體" w:ascii="Times New Roman" w:hAnsi="Times New Roman"/>
          <w:b/>
          <w:i w:val="0"/>
          <w:sz w:val="28"/>
        </w:rPr>
        <w:t>➤ 目標市場（Targeting）</w:t>
      </w:r>
    </w:p>
    <w:p>
      <w:pPr w:adjustRightInd="1" w:snapToGrid="0">
        <w:spacing w:before="0" w:after="60" w:line="240" w:lineRule="auto"/>
        <w:ind w:left="567" w:hanging="340"/>
      </w:pPr>
      <w:r>
        <w:rPr>
          <w:rFonts w:eastAsia="標楷體" w:ascii="Times New Roman" w:hAnsi="Times New Roman"/>
          <w:b w:val="0"/>
          <w:i w:val="0"/>
          <w:sz w:val="28"/>
        </w:rPr>
        <w:t>➤ 主要目標：台灣中小企業電商、品牌網站經營者。此族群對 SEO 有強烈需求，但鮮少有能力同時處理 AEO/GEO 與資安合規問題。</w:t>
      </w:r>
    </w:p>
    <w:p>
      <w:pPr w:adjustRightInd="1" w:snapToGrid="0">
        <w:spacing w:before="0" w:after="60" w:line="240" w:lineRule="auto"/>
        <w:ind w:left="567" w:hanging="340"/>
      </w:pPr>
      <w:r>
        <w:rPr>
          <w:rFonts w:eastAsia="標楷體" w:ascii="Times New Roman" w:hAnsi="Times New Roman"/>
          <w:b w:val="0"/>
          <w:i w:val="0"/>
          <w:sz w:val="28"/>
        </w:rPr>
        <w:t>➤ 次要目標：數位行銷代理商（可白牌使用 Argus API 服務其客戶）、自由接案網頁開發者（需快速為客戶提供健檢報告）。</w:t>
      </w:r>
    </w:p>
    <w:p>
      <w:pPr w:adjustRightInd="1" w:snapToGrid="0">
        <w:spacing w:before="0" w:after="80" w:line="240" w:lineRule="auto"/>
        <w:jc w:val="both"/>
      </w:pPr>
      <w:r>
        <w:rPr>
          <w:rFonts w:eastAsia="標楷體" w:ascii="Times New Roman" w:hAnsi="Times New Roman"/>
          <w:b/>
          <w:i w:val="0"/>
          <w:sz w:val="28"/>
        </w:rPr>
        <w:t>➤ 市場定位（Positioning）</w:t>
      </w:r>
    </w:p>
    <w:p>
      <w:pPr w:adjustRightInd="1" w:snapToGrid="0">
        <w:spacing w:before="0" w:after="60" w:line="240" w:lineRule="auto"/>
        <w:ind w:left="567" w:hanging="340"/>
      </w:pPr>
      <w:r>
        <w:rPr>
          <w:rFonts w:eastAsia="標楷體" w:ascii="Times New Roman" w:hAnsi="Times New Roman"/>
          <w:b w:val="0"/>
          <w:i w:val="0"/>
          <w:sz w:val="28"/>
        </w:rPr>
        <w:t>➤ 定位聲明：「Argus 是唯一同時涵蓋 SEO、AEO、GEO 與資安的一站式網站健檢平台，以按需點數計費模式，讓中小企業以 1/10 成本享受企業級診斷服務。」</w:t>
      </w:r>
    </w:p>
    <w:p>
      <w:pPr w:adjustRightInd="1" w:snapToGrid="0">
        <w:spacing w:before="0" w:after="60" w:line="240" w:lineRule="auto"/>
        <w:ind w:left="567" w:hanging="340"/>
      </w:pPr>
      <w:r>
        <w:rPr>
          <w:rFonts w:eastAsia="標楷體" w:ascii="Times New Roman" w:hAnsi="Times New Roman"/>
          <w:b w:val="0"/>
          <w:i w:val="0"/>
          <w:sz w:val="28"/>
        </w:rPr>
        <w:t>➤ 差異化優勢一：四維評分框架——市場上唯一整合 AEO 與 GEO 的商業化工具。</w:t>
      </w:r>
    </w:p>
    <w:p>
      <w:pPr w:adjustRightInd="1" w:snapToGrid="0">
        <w:spacing w:before="0" w:after="60" w:line="240" w:lineRule="auto"/>
        <w:ind w:left="567" w:hanging="340"/>
      </w:pPr>
      <w:r>
        <w:rPr>
          <w:rFonts w:eastAsia="標楷體" w:ascii="Times New Roman" w:hAnsi="Times New Roman"/>
          <w:b w:val="0"/>
          <w:i w:val="0"/>
          <w:sz w:val="28"/>
        </w:rPr>
        <w:t>➤ 差異化優勢二：按需計費——採點數制，用多少付多少，無強制月費。</w:t>
      </w:r>
    </w:p>
    <w:p>
      <w:pPr w:adjustRightInd="1" w:snapToGrid="0">
        <w:spacing w:before="0" w:after="60" w:line="240" w:lineRule="auto"/>
        <w:ind w:left="567" w:hanging="340"/>
      </w:pPr>
      <w:r>
        <w:rPr>
          <w:rFonts w:eastAsia="標楷體" w:ascii="Times New Roman" w:hAnsi="Times New Roman"/>
          <w:b w:val="0"/>
          <w:i w:val="0"/>
          <w:sz w:val="28"/>
        </w:rPr>
        <w:t>➤ 差異化優勢三：圖形化操作——相較於 Nmap、Dirsearch、Katana 等命令列工具，Argus 提供完整 GUI，大幅降低操作門檻。</w:t>
      </w:r>
    </w:p>
    <w:p>
      <w:pPr w:adjustRightInd="1" w:snapToGrid="0">
        <w:pStyle w:val="Heading2"/>
        <w:spacing w:before="240" w:after="120" w:line="240" w:lineRule="auto"/>
        <w:jc w:val="left"/>
      </w:pPr>
      <w:r>
        <w:rPr>
          <w:rFonts w:eastAsia="標楷體" w:ascii="Times New Roman" w:hAnsi="Times New Roman"/>
          <w:b/>
          <w:i w:val="0"/>
          <w:color w:val="000000"/>
          <w:sz w:val="32"/>
        </w:rPr>
        <w:t>2-4　競爭力分析（SWOT-TOWS 分析）</w:t>
      </w:r>
    </w:p>
    <w:p>
      <w:pPr w:adjustRightInd="1" w:snapToGrid="0">
        <w:spacing w:before="0" w:after="80" w:line="240" w:lineRule="auto"/>
        <w:jc w:val="both"/>
        <w:ind w:firstLineChars="200"/>
      </w:pPr>
      <w:r>
        <w:rPr>
          <w:rFonts w:eastAsia="標楷體" w:ascii="Times New Roman" w:hAnsi="Times New Roman"/>
          <w:b w:val="0"/>
          <w:i w:val="0"/>
          <w:sz w:val="28"/>
        </w:rPr>
        <w:t>本節採用 SWOT-TOWS 整合分析矩陣，同時呈現 Argus 的優劣勢、市場機會與威脅，以及對應的四種策略方向（SO 攻勢、WO 扭轉、ST 多角化、WT 防禦）。矩陣垂直維度區分企業內部（優勢/劣勢）與企業外部（機會/威脅），水平維度區分有利與不利因素。</w:t>
      </w:r>
    </w:p>
    <w:p>
      <w:pPr w:adjustRightInd="1" w:snapToGrid="0">
        <w:pStyle w:val="Caption"/>
        <w:spacing w:before="240" w:after="80" w:line="240" w:lineRule="auto"/>
        <w:jc w:val="center"/>
      </w:pPr>
      <w:r>
        <w:rPr>
          <w:rFonts w:eastAsia="標楷體" w:ascii="Times New Roman" w:hAnsi="Times New Roman"/>
          <w:b w:val="0"/>
          <w:i w:val="0"/>
          <w:sz w:val="28"/>
        </w:rPr>
        <w:t>表 2-</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競爭力分析 SWOT-TOWS 矩陣</w:t>
      </w:r>
    </w:p>
    <w:tbl>
      <w:tblPr>
        <w:tblStyle w:val="TableGrid"/>
        <w:tblW w:type="auto" w:w="0"/>
        <w:jc w:val="center"/>
        <w:tblLook w:firstColumn="1" w:firstRow="1" w:lastColumn="0" w:lastRow="0" w:noHBand="0" w:noVBand="1" w:val="04A0"/>
      </w:tblPr>
      <w:tblGrid>
        <w:gridCol w:w="3513"/>
        <w:gridCol w:w="3513"/>
        <w:gridCol w:w="3513"/>
      </w:tblGrid>
      <w:tr>
        <w:trPr>
          <w:cantSplit/>
        </w:trPr>
        <w:tc>
          <w:tcPr>
            <w:tcW w:type="dxa" w:w="3513"/>
            <w:shd w:val="clear" w:color="auto" w:fill="E4DFEC"/>
          </w:tcPr>
          <w:p>
            <w:pPr w:adjustRightInd="1" w:snapToGrid="0">
              <w:spacing w:before="80" w:after="80" w:line="240" w:lineRule="auto"/>
              <w:jc w:val="center"/>
            </w:pPr>
            <w:r>
              <w:rPr>
                <w:rFonts w:eastAsia="標楷體" w:ascii="Times New Roman" w:hAnsi="Times New Roman"/>
                <w:b/>
                <w:i w:val="0"/>
                <w:color w:val="000000"/>
                <w:sz w:val="22"/>
              </w:rPr>
              <w:t>SWOT-TOWS</w:t>
              <w:br/>
              <w:t>分析矩陣</w:t>
            </w:r>
          </w:p>
        </w:tc>
        <w:tc>
          <w:tcPr>
            <w:tcW w:type="dxa" w:w="3513"/>
            <w:shd w:val="clear" w:color="auto" w:fill="DAEEF3"/>
            <w:vAlign w:val="top"/>
          </w:tcPr>
          <w:p>
            <w:pPr w:adjustRightInd="1" w:snapToGrid="0">
              <w:spacing w:before="40" w:after="40" w:line="240" w:lineRule="auto"/>
              <w:jc w:val="left"/>
            </w:pPr>
            <w:r>
              <w:rPr>
                <w:rFonts w:eastAsia="標楷體" w:ascii="Times New Roman" w:hAnsi="Times New Roman"/>
                <w:b/>
                <w:i w:val="0"/>
                <w:sz w:val="20"/>
              </w:rPr>
              <w:t>優勢（Strengths）</w:t>
            </w:r>
          </w:p>
          <w:p>
            <w:pPr w:adjustRightInd="1" w:snapToGrid="0">
              <w:spacing w:before="0" w:after="40" w:line="240" w:lineRule="auto"/>
              <w:ind w:left="113"/>
            </w:pPr>
            <w:r>
              <w:rPr>
                <w:rFonts w:eastAsia="標楷體" w:ascii="Times New Roman" w:hAnsi="Times New Roman"/>
                <w:b w:val="0"/>
                <w:i w:val="0"/>
                <w:sz w:val="18"/>
              </w:rPr>
              <w:t>➤ S1：四維掃描差異化定位</w:t>
            </w:r>
          </w:p>
          <w:p>
            <w:pPr w:adjustRightInd="1" w:snapToGrid="0">
              <w:spacing w:before="0" w:after="40" w:line="240" w:lineRule="auto"/>
              <w:ind w:left="113"/>
            </w:pPr>
            <w:r>
              <w:rPr>
                <w:rFonts w:eastAsia="標楷體" w:ascii="Times New Roman" w:hAnsi="Times New Roman"/>
                <w:b w:val="0"/>
                <w:i w:val="0"/>
                <w:sz w:val="18"/>
              </w:rPr>
              <w:t>➤ S2：AI 代理 UX 測試市場首創</w:t>
            </w:r>
          </w:p>
          <w:p>
            <w:pPr w:adjustRightInd="1" w:snapToGrid="0">
              <w:spacing w:before="0" w:after="40" w:line="240" w:lineRule="auto"/>
              <w:ind w:left="113"/>
            </w:pPr>
            <w:r>
              <w:rPr>
                <w:rFonts w:eastAsia="標楷體" w:ascii="Times New Roman" w:hAnsi="Times New Roman"/>
                <w:b w:val="0"/>
                <w:i w:val="0"/>
                <w:sz w:val="18"/>
              </w:rPr>
              <w:t>➤ S3：點數制低門檻按需付費</w:t>
            </w:r>
          </w:p>
          <w:p>
            <w:pPr w:adjustRightInd="1" w:snapToGrid="0">
              <w:spacing w:before="0" w:after="40" w:line="240" w:lineRule="auto"/>
              <w:ind w:left="113"/>
            </w:pPr>
            <w:r>
              <w:rPr>
                <w:rFonts w:eastAsia="標楷體" w:ascii="Times New Roman" w:hAnsi="Times New Roman"/>
                <w:b w:val="0"/>
                <w:i w:val="0"/>
                <w:sz w:val="18"/>
              </w:rPr>
              <w:t>➤ S4：Word 格式專業報告輸出</w:t>
            </w:r>
          </w:p>
          <w:p>
            <w:pPr w:adjustRightInd="1" w:snapToGrid="0">
              <w:spacing w:before="0" w:after="40" w:line="240" w:lineRule="auto"/>
              <w:ind w:left="113"/>
            </w:pPr>
            <w:r>
              <w:rPr>
                <w:rFonts w:eastAsia="標楷體" w:ascii="Times New Roman" w:hAnsi="Times New Roman"/>
                <w:b w:val="0"/>
                <w:i w:val="0"/>
                <w:sz w:val="18"/>
              </w:rPr>
              <w:t>➤ S5：圖形化 GUI 操作友善</w:t>
            </w:r>
          </w:p>
        </w:tc>
        <w:tc>
          <w:tcPr>
            <w:tcW w:type="dxa" w:w="3513"/>
            <w:shd w:val="clear" w:color="auto" w:fill="FDE9D9"/>
            <w:vAlign w:val="top"/>
          </w:tcPr>
          <w:p>
            <w:pPr w:adjustRightInd="1" w:snapToGrid="0">
              <w:spacing w:before="40" w:after="40" w:line="240" w:lineRule="auto"/>
              <w:jc w:val="left"/>
            </w:pPr>
            <w:r>
              <w:rPr>
                <w:rFonts w:eastAsia="標楷體" w:ascii="Times New Roman" w:hAnsi="Times New Roman"/>
                <w:b/>
                <w:i w:val="0"/>
                <w:sz w:val="20"/>
              </w:rPr>
              <w:t>劣勢（Weaknesses）</w:t>
            </w:r>
          </w:p>
          <w:p>
            <w:pPr w:adjustRightInd="1" w:snapToGrid="0">
              <w:spacing w:before="0" w:after="40" w:line="240" w:lineRule="auto"/>
              <w:ind w:left="113"/>
            </w:pPr>
            <w:r>
              <w:rPr>
                <w:rFonts w:eastAsia="標楷體" w:ascii="Times New Roman" w:hAnsi="Times New Roman"/>
                <w:b w:val="0"/>
                <w:i w:val="0"/>
                <w:sz w:val="18"/>
              </w:rPr>
              <w:t>➤ W1：品牌知名度仍處早期建立</w:t>
            </w:r>
          </w:p>
          <w:p>
            <w:pPr w:adjustRightInd="1" w:snapToGrid="0">
              <w:spacing w:before="0" w:after="40" w:line="240" w:lineRule="auto"/>
              <w:ind w:left="113"/>
            </w:pPr>
            <w:r>
              <w:rPr>
                <w:rFonts w:eastAsia="標楷體" w:ascii="Times New Roman" w:hAnsi="Times New Roman"/>
                <w:b w:val="0"/>
                <w:i w:val="0"/>
                <w:sz w:val="18"/>
              </w:rPr>
              <w:t>➤ W2：AI 代理（Phase 2）待商業驗證</w:t>
            </w:r>
          </w:p>
          <w:p>
            <w:pPr w:adjustRightInd="1" w:snapToGrid="0">
              <w:spacing w:before="0" w:after="40" w:line="240" w:lineRule="auto"/>
              <w:ind w:left="113"/>
            </w:pPr>
            <w:r>
              <w:rPr>
                <w:rFonts w:eastAsia="標楷體" w:ascii="Times New Roman" w:hAnsi="Times New Roman"/>
                <w:b w:val="0"/>
                <w:i w:val="0"/>
                <w:sz w:val="18"/>
              </w:rPr>
              <w:t>➤ W3：資安掃描目前僅限被動檢測</w:t>
            </w:r>
          </w:p>
          <w:p>
            <w:pPr w:adjustRightInd="1" w:snapToGrid="0">
              <w:spacing w:before="0" w:after="40" w:line="240" w:lineRule="auto"/>
              <w:ind w:left="113"/>
            </w:pPr>
            <w:r>
              <w:rPr>
                <w:rFonts w:eastAsia="標楷體" w:ascii="Times New Roman" w:hAnsi="Times New Roman"/>
                <w:b w:val="0"/>
                <w:i w:val="0"/>
                <w:sz w:val="18"/>
              </w:rPr>
              <w:t>➤ W4：初期技術支援人力有限</w:t>
            </w:r>
          </w:p>
          <w:p>
            <w:pPr w:adjustRightInd="1" w:snapToGrid="0">
              <w:spacing w:before="0" w:after="40" w:line="240" w:lineRule="auto"/>
              <w:ind w:left="113"/>
            </w:pPr>
            <w:r>
              <w:rPr>
                <w:rFonts w:eastAsia="標楷體" w:ascii="Times New Roman" w:hAnsi="Times New Roman"/>
                <w:b w:val="0"/>
                <w:i w:val="0"/>
                <w:sz w:val="18"/>
              </w:rPr>
              <w:t>➤ W5：AEO/GEO 市場教育成本高</w:t>
            </w:r>
          </w:p>
        </w:tc>
      </w:tr>
      <w:tr>
        <w:trPr>
          <w:cantSplit/>
        </w:trPr>
        <w:tc>
          <w:tcPr>
            <w:tcW w:type="dxa" w:w="3513"/>
            <w:shd w:val="clear" w:color="auto" w:fill="EBF1DE"/>
            <w:vAlign w:val="top"/>
          </w:tcPr>
          <w:p>
            <w:pPr w:adjustRightInd="1" w:snapToGrid="0">
              <w:spacing w:before="40" w:after="40" w:line="240" w:lineRule="auto"/>
              <w:jc w:val="left"/>
            </w:pPr>
            <w:r>
              <w:rPr>
                <w:rFonts w:eastAsia="標楷體" w:ascii="Times New Roman" w:hAnsi="Times New Roman"/>
                <w:b/>
                <w:i w:val="0"/>
                <w:sz w:val="20"/>
              </w:rPr>
              <w:t>機會（Opportunities）</w:t>
            </w:r>
          </w:p>
          <w:p>
            <w:pPr w:adjustRightInd="1" w:snapToGrid="0">
              <w:spacing w:before="0" w:after="40" w:line="240" w:lineRule="auto"/>
              <w:ind w:left="113"/>
            </w:pPr>
            <w:r>
              <w:rPr>
                <w:rFonts w:eastAsia="標楷體" w:ascii="Times New Roman" w:hAnsi="Times New Roman"/>
                <w:b w:val="0"/>
                <w:i w:val="0"/>
                <w:sz w:val="18"/>
              </w:rPr>
              <w:t>➤ O1：生成式 AI 帶動 AEO/GEO 需求爆發</w:t>
            </w:r>
          </w:p>
          <w:p>
            <w:pPr w:adjustRightInd="1" w:snapToGrid="0">
              <w:spacing w:before="0" w:after="40" w:line="240" w:lineRule="auto"/>
              <w:ind w:left="113"/>
            </w:pPr>
            <w:r>
              <w:rPr>
                <w:rFonts w:eastAsia="標楷體" w:ascii="Times New Roman" w:hAnsi="Times New Roman"/>
                <w:b w:val="0"/>
                <w:i w:val="0"/>
                <w:sz w:val="18"/>
              </w:rPr>
              <w:t>➤ O2：政府推動中小企業數位轉型補助</w:t>
            </w:r>
          </w:p>
          <w:p>
            <w:pPr w:adjustRightInd="1" w:snapToGrid="0">
              <w:spacing w:before="0" w:after="40" w:line="240" w:lineRule="auto"/>
              <w:ind w:left="113"/>
            </w:pPr>
            <w:r>
              <w:rPr>
                <w:rFonts w:eastAsia="標楷體" w:ascii="Times New Roman" w:hAnsi="Times New Roman"/>
                <w:b w:val="0"/>
                <w:i w:val="0"/>
                <w:sz w:val="18"/>
              </w:rPr>
              <w:t>➤ O3：競品普遍缺乏 AEO/GEO 功能</w:t>
            </w:r>
          </w:p>
          <w:p>
            <w:pPr w:adjustRightInd="1" w:snapToGrid="0">
              <w:spacing w:before="0" w:after="40" w:line="240" w:lineRule="auto"/>
              <w:ind w:left="113"/>
            </w:pPr>
            <w:r>
              <w:rPr>
                <w:rFonts w:eastAsia="標楷體" w:ascii="Times New Roman" w:hAnsi="Times New Roman"/>
                <w:b w:val="0"/>
                <w:i w:val="0"/>
                <w:sz w:val="18"/>
              </w:rPr>
              <w:t>➤ O4：企業資安合規意識提升（個資法）</w:t>
            </w:r>
          </w:p>
        </w:tc>
        <w:tc>
          <w:tcPr>
            <w:tcW w:type="dxa" w:w="3513"/>
            <w:shd w:val="clear" w:color="auto" w:fill="E8F5E9"/>
            <w:vAlign w:val="top"/>
          </w:tcPr>
          <w:p>
            <w:pPr w:adjustRightInd="1" w:snapToGrid="0">
              <w:spacing w:before="40" w:after="40" w:line="240" w:lineRule="auto"/>
              <w:jc w:val="left"/>
            </w:pPr>
            <w:r>
              <w:rPr>
                <w:rFonts w:eastAsia="標楷體" w:ascii="Times New Roman" w:hAnsi="Times New Roman"/>
                <w:b/>
                <w:i w:val="0"/>
                <w:sz w:val="20"/>
              </w:rPr>
              <w:t>SO 策略（攻勢）</w:t>
            </w:r>
          </w:p>
          <w:p>
            <w:pPr w:adjustRightInd="1" w:snapToGrid="0">
              <w:spacing w:before="0" w:after="40" w:line="240" w:lineRule="auto"/>
              <w:ind w:left="113"/>
            </w:pPr>
            <w:r>
              <w:rPr>
                <w:rFonts w:eastAsia="標楷體" w:ascii="Times New Roman" w:hAnsi="Times New Roman"/>
                <w:b w:val="0"/>
                <w:i w:val="0"/>
                <w:sz w:val="18"/>
              </w:rPr>
              <w:t>➤ 積極進攻 AEO/GEO 功能藍海市場（S1+O1）</w:t>
            </w:r>
          </w:p>
          <w:p>
            <w:pPr w:adjustRightInd="1" w:snapToGrid="0">
              <w:spacing w:before="0" w:after="40" w:line="240" w:lineRule="auto"/>
              <w:ind w:left="113"/>
            </w:pPr>
            <w:r>
              <w:rPr>
                <w:rFonts w:eastAsia="標楷體" w:ascii="Times New Roman" w:hAnsi="Times New Roman"/>
                <w:b w:val="0"/>
                <w:i w:val="0"/>
                <w:sz w:val="18"/>
              </w:rPr>
              <w:t>➤ 申請數位轉型補助計畫取得資金（S3+O2）</w:t>
            </w:r>
          </w:p>
          <w:p>
            <w:pPr w:adjustRightInd="1" w:snapToGrid="0">
              <w:spacing w:before="0" w:after="40" w:line="240" w:lineRule="auto"/>
              <w:ind w:left="113"/>
            </w:pPr>
            <w:r>
              <w:rPr>
                <w:rFonts w:eastAsia="標楷體" w:ascii="Times New Roman" w:hAnsi="Times New Roman"/>
                <w:b w:val="0"/>
                <w:i w:val="0"/>
                <w:sz w:val="18"/>
              </w:rPr>
              <w:t>➤ 推出 AI 代理免費試用建立品牌聲量（S2+O3）</w:t>
            </w:r>
          </w:p>
          <w:p>
            <w:pPr w:adjustRightInd="1" w:snapToGrid="0">
              <w:spacing w:before="0" w:after="40" w:line="240" w:lineRule="auto"/>
              <w:ind w:left="113"/>
            </w:pPr>
            <w:r>
              <w:rPr>
                <w:rFonts w:eastAsia="標楷體" w:ascii="Times New Roman" w:hAnsi="Times New Roman"/>
                <w:b w:val="0"/>
                <w:i w:val="0"/>
                <w:sz w:val="18"/>
              </w:rPr>
              <w:t>➤ 強化資安標頭掃描因應合規需求（S1+O4）</w:t>
            </w:r>
          </w:p>
        </w:tc>
        <w:tc>
          <w:tcPr>
            <w:tcW w:type="dxa" w:w="3513"/>
            <w:shd w:val="clear" w:color="auto" w:fill="FFF9C4"/>
            <w:vAlign w:val="top"/>
          </w:tcPr>
          <w:p>
            <w:pPr w:adjustRightInd="1" w:snapToGrid="0">
              <w:spacing w:before="40" w:after="40" w:line="240" w:lineRule="auto"/>
              <w:jc w:val="left"/>
            </w:pPr>
            <w:r>
              <w:rPr>
                <w:rFonts w:eastAsia="標楷體" w:ascii="Times New Roman" w:hAnsi="Times New Roman"/>
                <w:b/>
                <w:i w:val="0"/>
                <w:sz w:val="20"/>
              </w:rPr>
              <w:t>WO 策略（扭轉）</w:t>
            </w:r>
          </w:p>
          <w:p>
            <w:pPr w:adjustRightInd="1" w:snapToGrid="0">
              <w:spacing w:before="0" w:after="40" w:line="240" w:lineRule="auto"/>
              <w:ind w:left="113"/>
            </w:pPr>
            <w:r>
              <w:rPr>
                <w:rFonts w:eastAsia="標楷體" w:ascii="Times New Roman" w:hAnsi="Times New Roman"/>
                <w:b w:val="0"/>
                <w:i w:val="0"/>
                <w:sz w:val="18"/>
              </w:rPr>
              <w:t>➤ 與數位行銷代理商合作白牌推廣（W1+O2）</w:t>
            </w:r>
          </w:p>
          <w:p>
            <w:pPr w:adjustRightInd="1" w:snapToGrid="0">
              <w:spacing w:before="0" w:after="40" w:line="240" w:lineRule="auto"/>
              <w:ind w:left="113"/>
            </w:pPr>
            <w:r>
              <w:rPr>
                <w:rFonts w:eastAsia="標楷體" w:ascii="Times New Roman" w:hAnsi="Times New Roman"/>
                <w:b w:val="0"/>
                <w:i w:val="0"/>
                <w:sz w:val="18"/>
              </w:rPr>
              <w:t>➤ 參與政府補助計畫提升品牌公信力（W1+O2）</w:t>
            </w:r>
          </w:p>
          <w:p>
            <w:pPr w:adjustRightInd="1" w:snapToGrid="0">
              <w:spacing w:before="0" w:after="40" w:line="240" w:lineRule="auto"/>
              <w:ind w:left="113"/>
            </w:pPr>
            <w:r>
              <w:rPr>
                <w:rFonts w:eastAsia="標楷體" w:ascii="Times New Roman" w:hAnsi="Times New Roman"/>
                <w:b w:val="0"/>
                <w:i w:val="0"/>
                <w:sz w:val="18"/>
              </w:rPr>
              <w:t>➤ 開設 AEO/GEO 教育內容降低認知門檻（W5+O1）</w:t>
            </w:r>
          </w:p>
          <w:p>
            <w:pPr w:adjustRightInd="1" w:snapToGrid="0">
              <w:spacing w:before="0" w:after="40" w:line="240" w:lineRule="auto"/>
              <w:ind w:left="113"/>
            </w:pPr>
            <w:r>
              <w:rPr>
                <w:rFonts w:eastAsia="標楷體" w:ascii="Times New Roman" w:hAnsi="Times New Roman"/>
                <w:b w:val="0"/>
                <w:i w:val="0"/>
                <w:sz w:val="18"/>
              </w:rPr>
              <w:t>➤ 快速迭代主動式資安掃描功能（W3+O4）</w:t>
            </w:r>
          </w:p>
        </w:tc>
      </w:tr>
      <w:tr>
        <w:trPr>
          <w:cantSplit/>
        </w:trPr>
        <w:tc>
          <w:tcPr>
            <w:tcW w:type="dxa" w:w="3513"/>
            <w:shd w:val="clear" w:color="auto" w:fill="F2DCDB"/>
            <w:vAlign w:val="top"/>
          </w:tcPr>
          <w:p>
            <w:pPr w:adjustRightInd="1" w:snapToGrid="0">
              <w:spacing w:before="40" w:after="40" w:line="240" w:lineRule="auto"/>
              <w:jc w:val="left"/>
            </w:pPr>
            <w:r>
              <w:rPr>
                <w:rFonts w:eastAsia="標楷體" w:ascii="Times New Roman" w:hAnsi="Times New Roman"/>
                <w:b/>
                <w:i w:val="0"/>
                <w:sz w:val="20"/>
              </w:rPr>
              <w:t>威脅（Threats）</w:t>
            </w:r>
          </w:p>
          <w:p>
            <w:pPr w:adjustRightInd="1" w:snapToGrid="0">
              <w:spacing w:before="0" w:after="40" w:line="240" w:lineRule="auto"/>
              <w:ind w:left="113"/>
            </w:pPr>
            <w:r>
              <w:rPr>
                <w:rFonts w:eastAsia="標楷體" w:ascii="Times New Roman" w:hAnsi="Times New Roman"/>
                <w:b w:val="0"/>
                <w:i w:val="0"/>
                <w:sz w:val="18"/>
              </w:rPr>
              <w:t>➤ T1：Google 演算法頻繁更新使規則失效</w:t>
            </w:r>
          </w:p>
          <w:p>
            <w:pPr w:adjustRightInd="1" w:snapToGrid="0">
              <w:spacing w:before="0" w:after="40" w:line="240" w:lineRule="auto"/>
              <w:ind w:left="113"/>
            </w:pPr>
            <w:r>
              <w:rPr>
                <w:rFonts w:eastAsia="標楷體" w:ascii="Times New Roman" w:hAnsi="Times New Roman"/>
                <w:b w:val="0"/>
                <w:i w:val="0"/>
                <w:sz w:val="18"/>
              </w:rPr>
              <w:t>➤ T2：Ahrefs/SEMrush 等大廠可能跟進</w:t>
            </w:r>
          </w:p>
          <w:p>
            <w:pPr w:adjustRightInd="1" w:snapToGrid="0">
              <w:spacing w:before="0" w:after="40" w:line="240" w:lineRule="auto"/>
              <w:ind w:left="113"/>
            </w:pPr>
            <w:r>
              <w:rPr>
                <w:rFonts w:eastAsia="標楷體" w:ascii="Times New Roman" w:hAnsi="Times New Roman"/>
                <w:b w:val="0"/>
                <w:i w:val="0"/>
                <w:sz w:val="18"/>
              </w:rPr>
              <w:t>➤ T3：AI API 成本波動影響毛利率</w:t>
            </w:r>
          </w:p>
          <w:p>
            <w:pPr w:adjustRightInd="1" w:snapToGrid="0">
              <w:spacing w:before="0" w:after="40" w:line="240" w:lineRule="auto"/>
              <w:ind w:left="113"/>
            </w:pPr>
            <w:r>
              <w:rPr>
                <w:rFonts w:eastAsia="標楷體" w:ascii="Times New Roman" w:hAnsi="Times New Roman"/>
                <w:b w:val="0"/>
                <w:i w:val="0"/>
                <w:sz w:val="18"/>
              </w:rPr>
              <w:t>➤ T4：市場教育成本高（AEO/GEO 認知度低）</w:t>
            </w:r>
          </w:p>
        </w:tc>
        <w:tc>
          <w:tcPr>
            <w:tcW w:type="dxa" w:w="3513"/>
            <w:shd w:val="clear" w:color="auto" w:fill="E3F2FD"/>
            <w:vAlign w:val="top"/>
          </w:tcPr>
          <w:p>
            <w:pPr w:adjustRightInd="1" w:snapToGrid="0">
              <w:spacing w:before="40" w:after="40" w:line="240" w:lineRule="auto"/>
              <w:jc w:val="left"/>
            </w:pPr>
            <w:r>
              <w:rPr>
                <w:rFonts w:eastAsia="標楷體" w:ascii="Times New Roman" w:hAnsi="Times New Roman"/>
                <w:b/>
                <w:i w:val="0"/>
                <w:sz w:val="20"/>
              </w:rPr>
              <w:t>ST 策略（多角化）</w:t>
            </w:r>
          </w:p>
          <w:p>
            <w:pPr w:adjustRightInd="1" w:snapToGrid="0">
              <w:spacing w:before="0" w:after="40" w:line="240" w:lineRule="auto"/>
              <w:ind w:left="113"/>
            </w:pPr>
            <w:r>
              <w:rPr>
                <w:rFonts w:eastAsia="標楷體" w:ascii="Times New Roman" w:hAnsi="Times New Roman"/>
                <w:b w:val="0"/>
                <w:i w:val="0"/>
                <w:sz w:val="18"/>
              </w:rPr>
              <w:t>➤ 強化報告差異化深度對抗大廠（S1+T2）</w:t>
            </w:r>
          </w:p>
          <w:p>
            <w:pPr w:adjustRightInd="1" w:snapToGrid="0">
              <w:spacing w:before="0" w:after="40" w:line="240" w:lineRule="auto"/>
              <w:ind w:left="113"/>
            </w:pPr>
            <w:r>
              <w:rPr>
                <w:rFonts w:eastAsia="標楷體" w:ascii="Times New Roman" w:hAnsi="Times New Roman"/>
                <w:b w:val="0"/>
                <w:i w:val="0"/>
                <w:sz w:val="18"/>
              </w:rPr>
              <w:t>➤ 建立 LTV 高的企業訂閱方案（S3+T3）</w:t>
            </w:r>
          </w:p>
          <w:p>
            <w:pPr w:adjustRightInd="1" w:snapToGrid="0">
              <w:spacing w:before="0" w:after="40" w:line="240" w:lineRule="auto"/>
              <w:ind w:left="113"/>
            </w:pPr>
            <w:r>
              <w:rPr>
                <w:rFonts w:eastAsia="標楷體" w:ascii="Times New Roman" w:hAnsi="Times New Roman"/>
                <w:b w:val="0"/>
                <w:i w:val="0"/>
                <w:sz w:val="18"/>
              </w:rPr>
              <w:t>➤ 持續跟進 Google 演算法更新迭代（S1+T1）</w:t>
            </w:r>
          </w:p>
          <w:p>
            <w:pPr w:adjustRightInd="1" w:snapToGrid="0">
              <w:spacing w:before="0" w:after="40" w:line="240" w:lineRule="auto"/>
              <w:ind w:left="113"/>
            </w:pPr>
            <w:r>
              <w:rPr>
                <w:rFonts w:eastAsia="標楷體" w:ascii="Times New Roman" w:hAnsi="Times New Roman"/>
                <w:b w:val="0"/>
                <w:i w:val="0"/>
                <w:sz w:val="18"/>
              </w:rPr>
              <w:t>➤ 以 AI 代理功能建立護城河（S2+T2）</w:t>
            </w:r>
          </w:p>
        </w:tc>
        <w:tc>
          <w:tcPr>
            <w:tcW w:type="dxa" w:w="3513"/>
            <w:shd w:val="clear" w:color="auto" w:fill="FCE4EC"/>
            <w:vAlign w:val="top"/>
          </w:tcPr>
          <w:p>
            <w:pPr w:adjustRightInd="1" w:snapToGrid="0">
              <w:spacing w:before="40" w:after="40" w:line="240" w:lineRule="auto"/>
              <w:jc w:val="left"/>
            </w:pPr>
            <w:r>
              <w:rPr>
                <w:rFonts w:eastAsia="標楷體" w:ascii="Times New Roman" w:hAnsi="Times New Roman"/>
                <w:b/>
                <w:i w:val="0"/>
                <w:sz w:val="20"/>
              </w:rPr>
              <w:t>WT 策略（防禦）</w:t>
            </w:r>
          </w:p>
          <w:p>
            <w:pPr w:adjustRightInd="1" w:snapToGrid="0">
              <w:spacing w:before="0" w:after="40" w:line="240" w:lineRule="auto"/>
              <w:ind w:left="113"/>
            </w:pPr>
            <w:r>
              <w:rPr>
                <w:rFonts w:eastAsia="標楷體" w:ascii="Times New Roman" w:hAnsi="Times New Roman"/>
                <w:b w:val="0"/>
                <w:i w:val="0"/>
                <w:sz w:val="18"/>
              </w:rPr>
              <w:t>➤ 快速迭代縮短 Phase 2 商業驗證週期（W2+T2）</w:t>
            </w:r>
          </w:p>
          <w:p>
            <w:pPr w:adjustRightInd="1" w:snapToGrid="0">
              <w:spacing w:before="0" w:after="40" w:line="240" w:lineRule="auto"/>
              <w:ind w:left="113"/>
            </w:pPr>
            <w:r>
              <w:rPr>
                <w:rFonts w:eastAsia="標楷體" w:ascii="Times New Roman" w:hAnsi="Times New Roman"/>
                <w:b w:val="0"/>
                <w:i w:val="0"/>
                <w:sz w:val="18"/>
              </w:rPr>
              <w:t>➤ 建立使用者回饋機制持續改善（W4+T1）</w:t>
            </w:r>
          </w:p>
          <w:p>
            <w:pPr w:adjustRightInd="1" w:snapToGrid="0">
              <w:spacing w:before="0" w:after="40" w:line="240" w:lineRule="auto"/>
              <w:ind w:left="113"/>
            </w:pPr>
            <w:r>
              <w:rPr>
                <w:rFonts w:eastAsia="標楷體" w:ascii="Times New Roman" w:hAnsi="Times New Roman"/>
                <w:b w:val="0"/>
                <w:i w:val="0"/>
                <w:sz w:val="18"/>
              </w:rPr>
              <w:t>➤ 控制 API 呼叫成本優化計費模型（W4+T3）</w:t>
            </w:r>
          </w:p>
          <w:p>
            <w:pPr w:adjustRightInd="1" w:snapToGrid="0">
              <w:spacing w:before="0" w:after="40" w:line="240" w:lineRule="auto"/>
              <w:ind w:left="113"/>
            </w:pPr>
            <w:r>
              <w:rPr>
                <w:rFonts w:eastAsia="標楷體" w:ascii="Times New Roman" w:hAnsi="Times New Roman"/>
                <w:b w:val="0"/>
                <w:i w:val="0"/>
                <w:sz w:val="18"/>
              </w:rPr>
              <w:t>➤ 與資安社群合作強化掃描深度（W3+T2）</w:t>
            </w:r>
          </w:p>
        </w:tc>
      </w:tr>
    </w:tbl>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第3章　系統規格</w:t>
      </w:r>
    </w:p>
    <w:p>
      <w:pPr w:adjustRightInd="1" w:snapToGrid="0">
        <w:pStyle w:val="Heading2"/>
        <w:spacing w:before="240" w:after="120" w:line="240" w:lineRule="auto"/>
        <w:jc w:val="left"/>
      </w:pPr>
      <w:r>
        <w:rPr>
          <w:rFonts w:eastAsia="標楷體" w:ascii="Times New Roman" w:hAnsi="Times New Roman"/>
          <w:b/>
          <w:i w:val="0"/>
          <w:color w:val="000000"/>
          <w:sz w:val="32"/>
        </w:rPr>
        <w:t>3-1　系統架構</w:t>
      </w:r>
    </w:p>
    <w:p>
      <w:pPr w:adjustRightInd="1" w:snapToGrid="0">
        <w:spacing w:before="0" w:after="80" w:line="240" w:lineRule="auto"/>
        <w:jc w:val="both"/>
        <w:ind w:firstLineChars="200"/>
      </w:pPr>
      <w:r>
        <w:rPr>
          <w:rFonts w:eastAsia="標楷體" w:ascii="Times New Roman" w:hAnsi="Times New Roman"/>
          <w:b w:val="0"/>
          <w:i w:val="0"/>
          <w:sz w:val="28"/>
        </w:rPr>
        <w:t>Argus 系統採用現代化 SaaS 分層架構，由下而上依序為：用戶端層、反向代理層、應用程式層、非同步任務層及資料持久層。各層之間透過 HTTP/REST、WebSocket 及Redis 訊息佇列通訊，確保各元件職責清晰且可獨立水平擴展。系統整體架構如圖 3-1-1 所示（PlantUML 圖稿請見附件 plantuml_diagrams_v3.txt）。</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2" name="Picture 2"/>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3-</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Argus 系統架構圖</w:t>
      </w:r>
    </w:p>
    <w:p>
      <w:pPr w:adjustRightInd="1" w:snapToGrid="0">
        <w:spacing w:before="0" w:after="80" w:line="240" w:lineRule="auto"/>
        <w:jc w:val="both"/>
      </w:pPr>
      <w:r>
        <w:rPr>
          <w:rFonts w:eastAsia="標楷體" w:ascii="Times New Roman" w:hAnsi="Times New Roman"/>
          <w:b w:val="0"/>
          <w:i w:val="0"/>
          <w:sz w:val="28"/>
        </w:rPr>
        <w:t>各層的主要職責說明如下：</w:t>
      </w:r>
    </w:p>
    <w:p>
      <w:pPr w:adjustRightInd="1" w:snapToGrid="0">
        <w:spacing w:before="0" w:after="60" w:line="240" w:lineRule="auto"/>
        <w:ind w:left="567" w:hanging="340"/>
      </w:pPr>
      <w:r>
        <w:rPr>
          <w:rFonts w:eastAsia="標楷體" w:ascii="Times New Roman" w:hAnsi="Times New Roman"/>
          <w:b w:val="0"/>
          <w:i w:val="0"/>
          <w:sz w:val="28"/>
        </w:rPr>
        <w:t>➤ 用戶端層（Client Layer）：使用者透過 Chrome/Firefox/Edge 瀏覽器存取 React 18 SPA，無需安裝任何客戶端軟體。</w:t>
      </w:r>
    </w:p>
    <w:p>
      <w:pPr w:adjustRightInd="1" w:snapToGrid="0">
        <w:spacing w:before="0" w:after="60" w:line="240" w:lineRule="auto"/>
        <w:ind w:left="567" w:hanging="340"/>
      </w:pPr>
      <w:r>
        <w:rPr>
          <w:rFonts w:eastAsia="標楷體" w:ascii="Times New Roman" w:hAnsi="Times New Roman"/>
          <w:b w:val="0"/>
          <w:i w:val="0"/>
          <w:sz w:val="28"/>
        </w:rPr>
        <w:t>➤ 反向代理層（Nginx 1.26）：處理 SSL 終止（HTTPS 443→HTTP 80）、靜態資源服務（React dist/）及後端 API 反向代理（/api/* → Django 8000）。</w:t>
      </w:r>
    </w:p>
    <w:p>
      <w:pPr w:adjustRightInd="1" w:snapToGrid="0">
        <w:spacing w:before="0" w:after="60" w:line="240" w:lineRule="auto"/>
        <w:ind w:left="567" w:hanging="340"/>
      </w:pPr>
      <w:r>
        <w:rPr>
          <w:rFonts w:eastAsia="標楷體" w:ascii="Times New Roman" w:hAnsi="Times New Roman"/>
          <w:b w:val="0"/>
          <w:i w:val="0"/>
          <w:sz w:val="28"/>
        </w:rPr>
        <w:t>➤ 應用程式層（Django 5.1）：提供 RESTful API 端點（Django REST Framework 3.15）、使用者認證（Google OAuth 2.0）、點數計費（BillingService）及 Word 報告生成（python-docx）。</w:t>
      </w:r>
    </w:p>
    <w:p>
      <w:pPr w:adjustRightInd="1" w:snapToGrid="0">
        <w:spacing w:before="0" w:after="60" w:line="240" w:lineRule="auto"/>
        <w:ind w:left="567" w:hanging="340"/>
      </w:pPr>
      <w:r>
        <w:rPr>
          <w:rFonts w:eastAsia="標楷體" w:ascii="Times New Roman" w:hAnsi="Times New Roman"/>
          <w:b w:val="0"/>
          <w:i w:val="0"/>
          <w:sz w:val="28"/>
        </w:rPr>
        <w:t>➤ 非同步任務層（Celery 5.4 + Redis 7.2）：接收掃描任務請求，執行 BFS 爬蟲（Playwright Chromium）及四維掃描引擎（SEO/AEO/GEO/Security），掃描結果寫回 PostgreSQL。</w:t>
      </w:r>
    </w:p>
    <w:p>
      <w:pPr w:adjustRightInd="1" w:snapToGrid="0">
        <w:spacing w:before="0" w:after="60" w:line="240" w:lineRule="auto"/>
        <w:ind w:left="567" w:hanging="340"/>
      </w:pPr>
      <w:r>
        <w:rPr>
          <w:rFonts w:eastAsia="標楷體" w:ascii="Times New Roman" w:hAnsi="Times New Roman"/>
          <w:b w:val="0"/>
          <w:i w:val="0"/>
          <w:sz w:val="28"/>
        </w:rPr>
        <w:t>➤ 資料持久層（PostgreSQL 16）：儲存所有業務資料，包含使用者、掃描任務、頁面、發現事項、點數交易及評論等 10 個資料表。</w:t>
      </w:r>
    </w:p>
    <w:p>
      <w:pPr w:adjustRightInd="1" w:snapToGrid="0">
        <w:pStyle w:val="Heading2"/>
        <w:spacing w:before="240" w:after="120" w:line="240" w:lineRule="auto"/>
        <w:jc w:val="left"/>
      </w:pPr>
      <w:r>
        <w:rPr>
          <w:rFonts w:eastAsia="標楷體" w:ascii="Times New Roman" w:hAnsi="Times New Roman"/>
          <w:b/>
          <w:i w:val="0"/>
          <w:color w:val="000000"/>
          <w:sz w:val="32"/>
        </w:rPr>
        <w:t>3-2　系統軟、硬體需求與技術平台</w:t>
      </w:r>
    </w:p>
    <w:p>
      <w:pPr w:adjustRightInd="1" w:snapToGrid="0">
        <w:spacing w:before="0" w:after="80" w:line="240" w:lineRule="auto"/>
        <w:jc w:val="both"/>
      </w:pPr>
      <w:r>
        <w:rPr>
          <w:rFonts w:eastAsia="標楷體" w:ascii="Times New Roman" w:hAnsi="Times New Roman"/>
          <w:b/>
          <w:i w:val="0"/>
          <w:sz w:val="28"/>
        </w:rPr>
        <w:t>（一）硬體環境需求</w:t>
      </w:r>
    </w:p>
    <w:p>
      <w:pPr w:adjustRightInd="1" w:snapToGrid="0">
        <w:spacing w:before="0" w:after="80" w:line="240" w:lineRule="auto"/>
        <w:jc w:val="both"/>
        <w:ind w:firstLineChars="200"/>
      </w:pPr>
      <w:r>
        <w:rPr>
          <w:rFonts w:eastAsia="標楷體" w:ascii="Times New Roman" w:hAnsi="Times New Roman"/>
          <w:b w:val="0"/>
          <w:i w:val="0"/>
          <w:sz w:val="28"/>
        </w:rPr>
        <w:t>本節僅列出系統正式上線之公網部署環境與終端使用者之用戶端需求；開發測試環境非屬正式營運配置，故不納入。</w:t>
      </w:r>
    </w:p>
    <w:p>
      <w:pPr w:adjustRightInd="1" w:snapToGrid="0">
        <w:pStyle w:val="Caption"/>
        <w:spacing w:before="240" w:after="80" w:line="240" w:lineRule="auto"/>
        <w:jc w:val="center"/>
      </w:pPr>
      <w:r>
        <w:rPr>
          <w:rFonts w:eastAsia="標楷體" w:ascii="Times New Roman" w:hAnsi="Times New Roman"/>
          <w:b w:val="0"/>
          <w:i w:val="0"/>
          <w:sz w:val="28"/>
        </w:rPr>
        <w:t>表 3-</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硬體環境需求規格</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環境</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類別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規格需求</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備註</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正式部署</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CPU</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vCPU × 4（AWS t3.xlarge 或同等級）</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Celery Worker 並行需求</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正式部署</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RAM</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16 GB</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Django + Celery + PostgreSQL + Redis</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正式部署</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儲存空間</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SSD 100 GB（含資料庫與截圖儲存）</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截圖約 50–200 KB/頁</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正式部署</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頻寬</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100 Mbps（對外爬蟲流量需求）</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BFS 爬蟲並發需求</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用戶端（瀏覽器）</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瀏覽器</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Chrome 120+、Firefox 120+、Edge 120+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支援 ES2020</w:t>
            </w:r>
          </w:p>
        </w:tc>
      </w:tr>
    </w:tbl>
    <w:p/>
    <w:p>
      <w:pPr w:adjustRightInd="1" w:snapToGrid="0">
        <w:spacing w:before="0" w:after="80" w:line="240" w:lineRule="auto"/>
        <w:jc w:val="both"/>
      </w:pPr>
      <w:r>
        <w:rPr>
          <w:rFonts w:eastAsia="標楷體" w:ascii="Times New Roman" w:hAnsi="Times New Roman"/>
          <w:b/>
          <w:i w:val="0"/>
          <w:sz w:val="28"/>
        </w:rPr>
        <w:t>（二）軟體環境需求與技術平台</w:t>
      </w:r>
    </w:p>
    <w:p>
      <w:pPr w:adjustRightInd="1" w:snapToGrid="0">
        <w:pStyle w:val="Caption"/>
        <w:spacing w:before="240" w:after="80" w:line="240" w:lineRule="auto"/>
        <w:jc w:val="center"/>
      </w:pPr>
      <w:r>
        <w:rPr>
          <w:rFonts w:eastAsia="標楷體" w:ascii="Times New Roman" w:hAnsi="Times New Roman"/>
          <w:b w:val="0"/>
          <w:i w:val="0"/>
          <w:sz w:val="28"/>
        </w:rPr>
        <w:t>表 3-</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軟體環境需求規格</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類別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技術/版本</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用途說明</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官方文件</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後端語言</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Python 3.12.x</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Django ORM / Celery 任務佇列</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https://docs.python.org/3.12/</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Web 框架</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Django 5.1</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RESTful API 與 Admin 後台</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https://docs.djangoproject.com/en/5.1/</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API 框架</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Django REST Framework 3.15</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Serializer、ViewSet、Permission</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https://www.django-rest-framework.org/</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前端框架</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React 18 + Vite 5</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SPA 單頁應用程式</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https://react.dev/ / https://vitejs.dev/</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UI 元件庫</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Tailwind CSS 3.4 + shadcn/ui</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響應式設計元件</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https://tailwindcss.com/</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視覺化</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ReactFlow 11</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網站拓樸圖（節點流程圖）</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https://reactflow.dev/</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資料庫</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PostgreSQL 16</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主要關聯式資料庫</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https://www.postgresql.org/docs/16/</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訊息佇列</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Redis 7.2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Celery Broker + 結果快取</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https://redis.io/docs/</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非同步任務</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Celery 5.4</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背景掃描任務調度</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https://docs.celeryq.dev/en/stable/</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爬蟲引擎</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Playwright 1.45 + Chromium</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無頭瀏覽器 BFS 爬蟲</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https://playwright.dev/</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容器化</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Docker 26 + Compose 2.28</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開發與正式部署一致性</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https://docs.docker.com/</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反向代理</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Nginx 1.26</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靜態資源服務 + SSL 終止</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https://nginx.org/en/docs/</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套件管理</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uv 0.4（Python）/ npm 10（Node）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環境隔離與版本鎖定</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https://docs.astral.sh/uv/</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版本控制</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Git 2.45 + GitHub</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協作開發與版本管理</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https://git-scm.com/doc</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AI API</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MiniMax-M2.7 / Google Gemini</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Hermes-Agent 工具調用（Phase 2）</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https://platform.minimaxi.com/</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報告生成</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python-docx 1.1</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Word 格式健檢報告自動生成</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https://python-docx.readthedocs.io/</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認證</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Google OAuth 2.0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社群登入驗證</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https://developers.google.com/identity</w:t>
            </w:r>
          </w:p>
        </w:tc>
      </w:tr>
    </w:tbl>
    <w:p/>
    <w:p>
      <w:pPr w:adjustRightInd="1" w:snapToGrid="0">
        <w:pStyle w:val="Heading2"/>
        <w:spacing w:before="240" w:after="120" w:line="240" w:lineRule="auto"/>
        <w:jc w:val="left"/>
      </w:pPr>
      <w:r>
        <w:rPr>
          <w:rFonts w:eastAsia="標楷體" w:ascii="Times New Roman" w:hAnsi="Times New Roman"/>
          <w:b/>
          <w:i w:val="0"/>
          <w:color w:val="000000"/>
          <w:sz w:val="32"/>
        </w:rPr>
        <w:t>3-3　使用標準與工具</w:t>
      </w:r>
    </w:p>
    <w:p>
      <w:pPr w:adjustRightInd="1" w:snapToGrid="0">
        <w:spacing w:before="0" w:after="80" w:line="240" w:lineRule="auto"/>
        <w:jc w:val="both"/>
        <w:ind w:firstLineChars="200"/>
      </w:pPr>
      <w:r>
        <w:rPr>
          <w:rFonts w:eastAsia="標楷體" w:ascii="Times New Roman" w:hAnsi="Times New Roman"/>
          <w:b w:val="0"/>
          <w:i w:val="0"/>
          <w:sz w:val="28"/>
        </w:rPr>
        <w:t>本專題在系統分析與設計過程中採用 UML 2.x（Unified Modeling Language）作為主要的軟體工程建模規範，涵蓋使用個案圖、活動圖、循序圖、類別圖、佈署圖、套件圖、元件圖及狀態機圖共八類圖形。所有 UML 圖使用 PlantUML（https://plantuml.com/）語法撰寫，圖碼見附件 plantuml_diagrams_v3.txt。使用標準與工具彙整如表 3-3-1。</w:t>
      </w:r>
    </w:p>
    <w:p>
      <w:pPr w:adjustRightInd="1" w:snapToGrid="0">
        <w:pStyle w:val="Caption"/>
        <w:spacing w:before="240" w:after="80" w:line="240" w:lineRule="auto"/>
        <w:jc w:val="center"/>
      </w:pPr>
      <w:r>
        <w:rPr>
          <w:rFonts w:eastAsia="標楷體" w:ascii="Times New Roman" w:hAnsi="Times New Roman"/>
          <w:b w:val="0"/>
          <w:i w:val="0"/>
          <w:sz w:val="28"/>
        </w:rPr>
        <w:t>表 3-</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使用標準與工具表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工具 / 標準</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版本 / 規格</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用途</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官方連結</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UML 2.x</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UML 2.5.1</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系統分析與設計建模規範（九類圖）</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https://www.omg.org/spec/UML/</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PlantUML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1.2024.x</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UML 圖碼生成工具</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https://plantuml.com/</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Python uv</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0.4.x</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Python 虛擬環境管理與套件安裝</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https://docs.astral.sh/uv/</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Git / GitHub</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2.45 / Actions</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版本控制與多人協作開發</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https://git-scm.com/</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Docker / Compose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26 / 2.28</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容器化部署，確保環境一致性</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https://docs.docker.com/</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Visual Studio Code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1.9x</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主要整合開發環境（IDE）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https://code.visualstudio.com/</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python-docx</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1.1</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Word 格式健檢報告自動生成</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https://python-docx.readthedocs.io/</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Matplotlib</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3.9</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可行性分析圖表生成</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https://matplotlib.org/</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Postman</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11.x</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RESTful API 端點測試</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https://www.postman.com/</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pgAdmin</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8.x</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PostgreSQL 資料庫管理</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https://www.pgadmin.org/</w:t>
            </w:r>
          </w:p>
        </w:tc>
      </w:tr>
    </w:tbl>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第4章　專案時程與組織分工</w:t>
      </w:r>
    </w:p>
    <w:p>
      <w:pPr w:adjustRightInd="1" w:snapToGrid="0">
        <w:pStyle w:val="Heading2"/>
        <w:spacing w:before="240" w:after="120" w:line="240" w:lineRule="auto"/>
        <w:jc w:val="left"/>
      </w:pPr>
      <w:r>
        <w:rPr>
          <w:rFonts w:eastAsia="標楷體" w:ascii="Times New Roman" w:hAnsi="Times New Roman"/>
          <w:b/>
          <w:i w:val="0"/>
          <w:color w:val="000000"/>
          <w:sz w:val="32"/>
        </w:rPr>
        <w:t>4-1　專案時程</w:t>
      </w:r>
    </w:p>
    <w:p>
      <w:pPr w:adjustRightInd="1" w:snapToGrid="0">
        <w:spacing w:before="0" w:after="80" w:line="240" w:lineRule="auto"/>
        <w:jc w:val="both"/>
        <w:ind w:firstLineChars="200"/>
      </w:pPr>
      <w:r>
        <w:rPr>
          <w:rFonts w:eastAsia="標楷體" w:ascii="Times New Roman" w:hAnsi="Times New Roman"/>
          <w:b w:val="0"/>
          <w:i w:val="0"/>
          <w:sz w:val="28"/>
        </w:rPr>
        <w:t>本專題自 114 年 9 月起始，預計於 115 年 6 月完成複評，整體開發週期約 10 個月。甘特圖以淺灰色（■）表示預期進度，深灰色（■）表示實際進度，每一工作項目分為上下兩列呈現。</w:t>
      </w:r>
    </w:p>
    <w:p>
      <w:pPr w:adjustRightInd="1" w:snapToGrid="0">
        <w:pStyle w:val="Caption"/>
        <w:spacing w:before="240" w:after="80" w:line="240" w:lineRule="auto"/>
        <w:jc w:val="center"/>
      </w:pPr>
      <w:r>
        <w:rPr>
          <w:rFonts w:eastAsia="標楷體" w:ascii="Times New Roman" w:hAnsi="Times New Roman"/>
          <w:b w:val="0"/>
          <w:i w:val="0"/>
          <w:sz w:val="28"/>
        </w:rPr>
        <w:t>表 4-</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專案甘特圖（114/09 – 115/06）</w:t>
      </w:r>
    </w:p>
    <w:tbl>
      <w:tblPr>
        <w:tblStyle w:val="TableGrid"/>
        <w:tblW w:type="auto" w:w="0"/>
        <w:jc w:val="center"/>
        <w:tblLayout w:type="fixed"/>
        <w:tblLook w:firstColumn="1" w:firstRow="1" w:lastColumn="0" w:lastRow="0" w:noHBand="0" w:noVBand="1" w:val="04A0"/>
        <w:tblLayout w:type="fixed"/>
      </w:tblPr>
      <w:tblGrid>
        <w:gridCol w:w="958"/>
        <w:gridCol w:w="958"/>
        <w:gridCol w:w="958"/>
        <w:gridCol w:w="958"/>
        <w:gridCol w:w="958"/>
        <w:gridCol w:w="958"/>
        <w:gridCol w:w="958"/>
        <w:gridCol w:w="958"/>
        <w:gridCol w:w="958"/>
        <w:gridCol w:w="958"/>
        <w:gridCol w:w="958"/>
      </w:tblGrid>
      <w:tr>
        <w:trPr>
          <w:cantSplit/>
          <w:tblHeader w:val="true"/>
        </w:trPr>
        <w:tc>
          <w:tcPr>
            <w:tcW w:type="dxa" w:w="1814"/>
            <w:vMerge w:val="restart"/>
            <w:shd w:val="clear" w:color="auto" w:fill="E4DFEC"/>
          </w:tcPr>
          <w:p>
            <w:pPr w:adjustRightInd="1" w:snapToGrid="0">
              <w:spacing w:before="40" w:after="40" w:line="240" w:lineRule="auto"/>
              <w:jc w:val="center"/>
            </w:pPr>
            <w:r>
              <w:rPr>
                <w:rFonts w:eastAsia="標楷體" w:ascii="Times New Roman" w:hAnsi="Times New Roman"/>
                <w:b/>
                <w:i w:val="0"/>
                <w:color w:val="000000"/>
                <w:sz w:val="20"/>
              </w:rPr>
              <w:t>工作項目</w:t>
            </w:r>
          </w:p>
        </w:tc>
        <w:tc>
          <w:tcPr>
            <w:tcW w:type="dxa" w:w="624"/>
            <w:gridSpan w:val="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中華民國 114 年</w:t>
            </w:r>
          </w:p>
        </w:tc>
        <w:tc>
          <w:tcPr>
            <w:tcW w:type="dxa" w:w="624"/>
            <w:gridSpan w:val="6"/>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中華民國 115 年</w:t>
            </w:r>
          </w:p>
        </w:tc>
      </w:tr>
      <w:tr>
        <w:trPr>
          <w:cantSplit/>
          <w:tblHeader w:val="true"/>
        </w:trPr>
        <w:tc>
          <w:tcPr>
            <w:tcW w:type="dxa" w:w="958"/>
            <w:vMerge/>
          </w:tcP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09月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10月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11月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12月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01月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02月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03月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04月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05月</w:t>
            </w:r>
          </w:p>
        </w:tc>
        <w:tc>
          <w:tcPr>
            <w:tcW w:type="dxa" w:w="62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06月</w:t>
            </w: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需求訪談與市場分析</w:t>
            </w: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系統架構設計</w:t>
            </w: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資料庫設計</w:t>
            </w: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後端 API 開發</w:t>
            </w: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BFS 爬蟲引擎實作</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四維掃描引擎開發</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前端 React UI 開發</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Celery 任務佇列整合</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Docker 容器化部署</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系統整合測試</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FFFFFF"/>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Hermes-Agent（Phase 2）</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FFFFFF"/>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文件撰寫與簡報製作</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c>
          <w:tcPr>
            <w:tcW w:type="dxa" w:w="624"/>
            <w:shd w:val="clear" w:color="auto" w:fill="D9D9D9"/>
          </w:tcPr>
          <w:p/>
        </w:tc>
        <w:tc>
          <w:tcPr>
            <w:tcW w:type="dxa" w:w="624"/>
            <w:shd w:val="clear" w:color="auto" w:fill="D9D9D9"/>
          </w:tcPr>
          <w:p/>
        </w:tc>
        <w:tc>
          <w:tcPr>
            <w:tcW w:type="dxa" w:w="624"/>
            <w:shd w:val="clear" w:color="auto" w:fill="D9D9D9"/>
          </w:tcPr>
          <w:p/>
        </w:tc>
        <w:tc>
          <w:tcPr>
            <w:tcW w:type="dxa" w:w="624"/>
            <w:shd w:val="clear" w:color="auto" w:fill="D9D9D9"/>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595959"/>
          </w:tcPr>
          <w:p/>
        </w:tc>
        <w:tc>
          <w:tcPr>
            <w:tcW w:type="dxa" w:w="624"/>
            <w:shd w:val="clear" w:color="auto" w:fill="595959"/>
          </w:tcPr>
          <w:p/>
        </w:tc>
        <w:tc>
          <w:tcPr>
            <w:tcW w:type="dxa" w:w="624"/>
            <w:shd w:val="clear" w:color="auto" w:fill="595959"/>
          </w:tcPr>
          <w:p/>
        </w:tc>
        <w:tc>
          <w:tcPr>
            <w:tcW w:type="dxa" w:w="624"/>
            <w:shd w:val="clear" w:color="auto" w:fill="595959"/>
          </w:tcPr>
          <w:p/>
        </w:tc>
        <w:tc>
          <w:tcPr>
            <w:tcW w:type="dxa" w:w="624"/>
            <w:shd w:val="clear" w:color="auto" w:fill="FFFFFF"/>
          </w:tcPr>
          <w:p/>
        </w:tc>
      </w:tr>
      <w:tr>
        <w:trPr>
          <w:cantSplit/>
        </w:trPr>
        <w:tc>
          <w:tcPr>
            <w:tcW w:type="dxa" w:w="1814"/>
            <w:vMerge w:val="restart"/>
            <w:shd w:val="clear" w:color="auto" w:fill="FFFFFF"/>
          </w:tcPr>
          <w:p>
            <w:pPr w:adjustRightInd="1" w:snapToGrid="0">
              <w:spacing w:before="40" w:after="40" w:line="240" w:lineRule="auto"/>
              <w:jc w:val="left"/>
            </w:pPr>
            <w:r>
              <w:rPr>
                <w:rFonts w:eastAsia="標楷體" w:ascii="Times New Roman" w:hAnsi="Times New Roman"/>
                <w:b w:val="0"/>
                <w:i w:val="0"/>
                <w:sz w:val="18"/>
              </w:rPr>
              <w:t>期末展示與驗收</w:t>
            </w: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D9D9D9"/>
          </w:tcPr>
          <w:p/>
        </w:tc>
      </w:tr>
      <w:tr>
        <w:trPr>
          <w:cantSplit/>
        </w:trPr>
        <w:tc>
          <w:tcPr>
            <w:tcW w:type="dxa" w:w="958"/>
            <w:vMerge/>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c>
          <w:tcPr>
            <w:tcW w:type="dxa" w:w="624"/>
            <w:shd w:val="clear" w:color="auto" w:fill="FFFFFF"/>
          </w:tcPr>
          <w:p/>
        </w:tc>
      </w:tr>
      <w:tr>
        <w:trPr>
          <w:cantSplit/>
        </w:trPr>
        <w:tc>
          <w:tcPr>
            <w:tcW w:type="dxa" w:w="624"/>
            <w:gridSpan w:val="11"/>
            <w:shd w:val="clear" w:color="auto" w:fill="F5F5F5"/>
          </w:tcPr>
          <w:p>
            <w:pPr>
              <w:jc w:val="left"/>
            </w:pPr>
            <w:r>
              <w:rPr>
                <w:color w:val="D9D9D9"/>
                <w:sz w:val="28"/>
              </w:rPr>
              <w:t xml:space="preserve">  ■ </w:t>
            </w:r>
            <w:r>
              <w:rPr>
                <w:rFonts w:eastAsia="標楷體" w:ascii="Times New Roman" w:hAnsi="Times New Roman"/>
                <w:b w:val="0"/>
                <w:i w:val="0"/>
                <w:sz w:val="20"/>
              </w:rPr>
              <w:t xml:space="preserve"> 預期進度　</w:t>
            </w:r>
            <w:r>
              <w:rPr>
                <w:color w:val="595959"/>
                <w:sz w:val="28"/>
              </w:rPr>
              <w:t xml:space="preserve">■ </w:t>
            </w:r>
            <w:r>
              <w:rPr>
                <w:rFonts w:eastAsia="標楷體" w:ascii="Times New Roman" w:hAnsi="Times New Roman"/>
                <w:b w:val="0"/>
                <w:i w:val="0"/>
                <w:sz w:val="20"/>
              </w:rPr>
              <w:t xml:space="preserve"> 實際進度</w:t>
            </w:r>
          </w:p>
        </w:tc>
      </w:tr>
    </w:tbl>
    <w:p/>
    <w:p>
      <w:pPr w:adjustRightInd="1" w:snapToGrid="0">
        <w:pStyle w:val="Heading2"/>
        <w:spacing w:before="240" w:after="120" w:line="240" w:lineRule="auto"/>
        <w:jc w:val="left"/>
      </w:pPr>
      <w:r>
        <w:rPr>
          <w:rFonts w:eastAsia="標楷體" w:ascii="Times New Roman" w:hAnsi="Times New Roman"/>
          <w:b/>
          <w:i w:val="0"/>
          <w:color w:val="000000"/>
          <w:sz w:val="32"/>
        </w:rPr>
        <w:t>4-2　專案組織與分工</w:t>
      </w:r>
    </w:p>
    <w:p>
      <w:pPr w:adjustRightInd="1" w:snapToGrid="0">
        <w:spacing w:before="0" w:after="80" w:line="240" w:lineRule="auto"/>
        <w:jc w:val="both"/>
        <w:ind w:firstLineChars="200"/>
      </w:pPr>
      <w:r>
        <w:rPr>
          <w:rFonts w:eastAsia="標楷體" w:ascii="Times New Roman" w:hAnsi="Times New Roman"/>
          <w:b w:val="0"/>
          <w:i w:val="0"/>
          <w:sz w:val="28"/>
        </w:rPr>
        <w:t>本組共 4 名成員，依專業分為後端開發、前端開發、美術設計、文件撰寫統整四組。每項工作指定 1 位主要負責人（●），次要協助最多 2 位（○），每一項只能有 1 位主要負責人。分工表如表 4-2-1 所示。</w:t>
      </w:r>
    </w:p>
    <w:p>
      <w:pPr w:adjustRightInd="1" w:snapToGrid="0">
        <w:pStyle w:val="Caption"/>
        <w:spacing w:before="240" w:after="80" w:line="240" w:lineRule="auto"/>
        <w:jc w:val="center"/>
      </w:pPr>
      <w:r>
        <w:rPr>
          <w:rFonts w:eastAsia="標楷體" w:ascii="Times New Roman" w:hAnsi="Times New Roman"/>
          <w:b w:val="0"/>
          <w:i w:val="0"/>
          <w:sz w:val="28"/>
        </w:rPr>
        <w:t>表 4-</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專案組織分工表（● 主要負責，○ 次要協助）</w:t>
      </w:r>
    </w:p>
    <w:tbl>
      <w:tblPr>
        <w:tblStyle w:val="TableGrid"/>
        <w:tblW w:type="auto" w:w="0"/>
        <w:jc w:val="center"/>
        <w:tblLayout w:type="fixed"/>
        <w:tblLook w:firstColumn="1" w:firstRow="1" w:lastColumn="0" w:lastRow="0" w:noHBand="0" w:noVBand="1" w:val="04A0"/>
        <w:tblLayout w:type="fixed"/>
      </w:tblPr>
      <w:tblGrid>
        <w:gridCol w:w="2108"/>
        <w:gridCol w:w="2108"/>
        <w:gridCol w:w="2108"/>
        <w:gridCol w:w="2108"/>
        <w:gridCol w:w="2108"/>
      </w:tblGrid>
      <w:tr>
        <w:trPr>
          <w:cantSplit/>
          <w:tblHeader w:val="true"/>
        </w:trPr>
        <w:tc>
          <w:tcPr>
            <w:tcW w:type="dxa" w:w="2835"/>
            <w:shd w:val="clear" w:color="auto" w:fill="E4DFEC"/>
          </w:tcPr>
          <w:p>
            <w:pPr w:adjustRightInd="1" w:snapToGrid="0">
              <w:spacing w:before="40" w:after="40" w:line="240" w:lineRule="auto"/>
              <w:jc w:val="center"/>
            </w:pPr>
            <w:r>
              <w:rPr>
                <w:rFonts w:eastAsia="標楷體" w:ascii="Times New Roman" w:hAnsi="Times New Roman"/>
                <w:b/>
                <w:i w:val="0"/>
                <w:color w:val="000000"/>
                <w:sz w:val="20"/>
              </w:rPr>
              <w:t>專業分組 / 工作項目</w:t>
            </w:r>
          </w:p>
        </w:tc>
        <w:tc>
          <w:tcPr>
            <w:tcW w:type="dxa" w:w="130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w:t>
              <w:br/>
              <w:t>（後端開發）</w:t>
            </w:r>
          </w:p>
        </w:tc>
        <w:tc>
          <w:tcPr>
            <w:tcW w:type="dxa" w:w="130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w:t>
              <w:br/>
              <w:t>（前端開發）</w:t>
            </w:r>
          </w:p>
        </w:tc>
        <w:tc>
          <w:tcPr>
            <w:tcW w:type="dxa" w:w="130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w:t>
              <w:br/>
              <w:t>（美術設計）</w:t>
            </w:r>
          </w:p>
        </w:tc>
        <w:tc>
          <w:tcPr>
            <w:tcW w:type="dxa" w:w="1304"/>
            <w:shd w:val="clear" w:color="auto" w:fill="E4DFEC"/>
          </w:tcPr>
          <w:p>
            <w:pPr w:adjustRightInd="1" w:snapToGrid="0">
              <w:spacing w:before="40" w:after="40" w:line="240" w:lineRule="auto"/>
              <w:jc w:val="center"/>
            </w:pPr>
            <w:r>
              <w:rPr>
                <w:rFonts w:eastAsia="標楷體" w:ascii="Times New Roman" w:hAnsi="Times New Roman"/>
                <w:b/>
                <w:i w:val="0"/>
                <w:color w:val="000000"/>
                <w:sz w:val="18"/>
              </w:rPr>
              <w:t>○○○</w:t>
              <w:br/>
              <w:t>（文件撰寫統整）</w:t>
            </w:r>
          </w:p>
        </w:tc>
      </w:tr>
      <w:tr>
        <w:trPr>
          <w:cantSplit/>
        </w:trPr>
        <w:tc>
          <w:tcPr>
            <w:tcW w:type="dxa" w:w="1304"/>
            <w:gridSpan w:val="5"/>
            <w:shd w:val="clear" w:color="auto" w:fill="EDEDED"/>
          </w:tcPr>
          <w:p>
            <w:pPr w:adjustRightInd="1" w:snapToGrid="0">
              <w:spacing w:before="40" w:after="40" w:line="240" w:lineRule="auto"/>
              <w:jc w:val="left"/>
            </w:pPr>
            <w:r>
              <w:rPr>
                <w:rFonts w:eastAsia="標楷體" w:ascii="Times New Roman" w:hAnsi="Times New Roman"/>
                <w:b/>
                <w:i w:val="0"/>
                <w:sz w:val="20"/>
              </w:rPr>
              <w:t>【後端開發】</w:t>
            </w:r>
          </w:p>
        </w:tc>
      </w:tr>
      <w:tr>
        <w:trPr>
          <w:cantSplit/>
        </w:trPr>
        <w:tc>
          <w:tcPr>
            <w:tcW w:type="dxa" w:w="2835"/>
            <w:shd w:val="clear" w:color="auto" w:fill="F2F2F2"/>
          </w:tcPr>
          <w:p>
            <w:pPr w:adjustRightInd="1" w:snapToGrid="0">
              <w:spacing w:before="40" w:after="40" w:line="240" w:lineRule="auto"/>
              <w:jc w:val="left"/>
            </w:pPr>
            <w:r>
              <w:rPr>
                <w:rFonts w:eastAsia="標楷體" w:ascii="Times New Roman" w:hAnsi="Times New Roman"/>
                <w:b w:val="0"/>
                <w:i w:val="0"/>
                <w:sz w:val="18"/>
              </w:rPr>
              <w:t>後端 API 開發（Django + DRF）</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r>
      <w:tr>
        <w:trPr>
          <w:cantSplit/>
        </w:trPr>
        <w:tc>
          <w:tcPr>
            <w:tcW w:type="dxa" w:w="2835"/>
            <w:shd w:val="clear" w:color="auto" w:fill="FFFFFF"/>
          </w:tcPr>
          <w:p>
            <w:pPr w:adjustRightInd="1" w:snapToGrid="0">
              <w:spacing w:before="40" w:after="40" w:line="240" w:lineRule="auto"/>
              <w:jc w:val="left"/>
            </w:pPr>
            <w:r>
              <w:rPr>
                <w:rFonts w:eastAsia="標楷體" w:ascii="Times New Roman" w:hAnsi="Times New Roman"/>
                <w:b w:val="0"/>
                <w:i w:val="0"/>
                <w:sz w:val="18"/>
              </w:rPr>
              <w:t>PostgreSQL 資料庫建置</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r>
      <w:tr>
        <w:trPr>
          <w:cantSplit/>
        </w:trPr>
        <w:tc>
          <w:tcPr>
            <w:tcW w:type="dxa" w:w="2835"/>
            <w:shd w:val="clear" w:color="auto" w:fill="F2F2F2"/>
          </w:tcPr>
          <w:p>
            <w:pPr w:adjustRightInd="1" w:snapToGrid="0">
              <w:spacing w:before="40" w:after="40" w:line="240" w:lineRule="auto"/>
              <w:jc w:val="left"/>
            </w:pPr>
            <w:r>
              <w:rPr>
                <w:rFonts w:eastAsia="標楷體" w:ascii="Times New Roman" w:hAnsi="Times New Roman"/>
                <w:b w:val="0"/>
                <w:i w:val="0"/>
                <w:sz w:val="18"/>
              </w:rPr>
              <w:t>點數計費系統（BillingService）</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r>
      <w:tr>
        <w:trPr>
          <w:cantSplit/>
        </w:trPr>
        <w:tc>
          <w:tcPr>
            <w:tcW w:type="dxa" w:w="2835"/>
            <w:shd w:val="clear" w:color="auto" w:fill="FFFFFF"/>
          </w:tcPr>
          <w:p>
            <w:pPr w:adjustRightInd="1" w:snapToGrid="0">
              <w:spacing w:before="40" w:after="40" w:line="240" w:lineRule="auto"/>
              <w:jc w:val="left"/>
            </w:pPr>
            <w:r>
              <w:rPr>
                <w:rFonts w:eastAsia="標楷體" w:ascii="Times New Roman" w:hAnsi="Times New Roman"/>
                <w:b w:val="0"/>
                <w:i w:val="0"/>
                <w:sz w:val="18"/>
              </w:rPr>
              <w:t>BFS 爬蟲與四維掃描引擎</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r>
      <w:tr>
        <w:trPr>
          <w:cantSplit/>
        </w:trPr>
        <w:tc>
          <w:tcPr>
            <w:tcW w:type="dxa" w:w="1304"/>
            <w:gridSpan w:val="5"/>
            <w:shd w:val="clear" w:color="auto" w:fill="EDEDED"/>
          </w:tcPr>
          <w:p>
            <w:pPr w:adjustRightInd="1" w:snapToGrid="0">
              <w:spacing w:before="40" w:after="40" w:line="240" w:lineRule="auto"/>
              <w:jc w:val="left"/>
            </w:pPr>
            <w:r>
              <w:rPr>
                <w:rFonts w:eastAsia="標楷體" w:ascii="Times New Roman" w:hAnsi="Times New Roman"/>
                <w:b/>
                <w:i w:val="0"/>
                <w:sz w:val="20"/>
              </w:rPr>
              <w:t>【前端開發】</w:t>
            </w:r>
          </w:p>
        </w:tc>
      </w:tr>
      <w:tr>
        <w:trPr>
          <w:cantSplit/>
        </w:trPr>
        <w:tc>
          <w:tcPr>
            <w:tcW w:type="dxa" w:w="2835"/>
            <w:shd w:val="clear" w:color="auto" w:fill="F2F2F2"/>
          </w:tcPr>
          <w:p>
            <w:pPr w:adjustRightInd="1" w:snapToGrid="0">
              <w:spacing w:before="40" w:after="40" w:line="240" w:lineRule="auto"/>
              <w:jc w:val="left"/>
            </w:pPr>
            <w:r>
              <w:rPr>
                <w:rFonts w:eastAsia="標楷體" w:ascii="Times New Roman" w:hAnsi="Times New Roman"/>
                <w:b w:val="0"/>
                <w:i w:val="0"/>
                <w:sz w:val="18"/>
              </w:rPr>
              <w:t>React 18 SPA 介面開發</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r>
      <w:tr>
        <w:trPr>
          <w:cantSplit/>
        </w:trPr>
        <w:tc>
          <w:tcPr>
            <w:tcW w:type="dxa" w:w="2835"/>
            <w:shd w:val="clear" w:color="auto" w:fill="FFFFFF"/>
          </w:tcPr>
          <w:p>
            <w:pPr w:adjustRightInd="1" w:snapToGrid="0">
              <w:spacing w:before="40" w:after="40" w:line="240" w:lineRule="auto"/>
              <w:jc w:val="left"/>
            </w:pPr>
            <w:r>
              <w:rPr>
                <w:rFonts w:eastAsia="標楷體" w:ascii="Times New Roman" w:hAnsi="Times New Roman"/>
                <w:b w:val="0"/>
                <w:i w:val="0"/>
                <w:sz w:val="18"/>
              </w:rPr>
              <w:t>ReactFlow 網站拓樸圖</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r>
      <w:tr>
        <w:trPr>
          <w:cantSplit/>
        </w:trPr>
        <w:tc>
          <w:tcPr>
            <w:tcW w:type="dxa" w:w="2835"/>
            <w:shd w:val="clear" w:color="auto" w:fill="F2F2F2"/>
          </w:tcPr>
          <w:p>
            <w:pPr w:adjustRightInd="1" w:snapToGrid="0">
              <w:spacing w:before="40" w:after="40" w:line="240" w:lineRule="auto"/>
              <w:jc w:val="left"/>
            </w:pPr>
            <w:r>
              <w:rPr>
                <w:rFonts w:eastAsia="標楷體" w:ascii="Times New Roman" w:hAnsi="Times New Roman"/>
                <w:b w:val="0"/>
                <w:i w:val="0"/>
                <w:sz w:val="18"/>
              </w:rPr>
              <w:t>後台管理介面開發</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r>
      <w:tr>
        <w:trPr>
          <w:cantSplit/>
        </w:trPr>
        <w:tc>
          <w:tcPr>
            <w:tcW w:type="dxa" w:w="1304"/>
            <w:gridSpan w:val="5"/>
            <w:shd w:val="clear" w:color="auto" w:fill="EDEDED"/>
          </w:tcPr>
          <w:p>
            <w:pPr w:adjustRightInd="1" w:snapToGrid="0">
              <w:spacing w:before="40" w:after="40" w:line="240" w:lineRule="auto"/>
              <w:jc w:val="left"/>
            </w:pPr>
            <w:r>
              <w:rPr>
                <w:rFonts w:eastAsia="標楷體" w:ascii="Times New Roman" w:hAnsi="Times New Roman"/>
                <w:b/>
                <w:i w:val="0"/>
                <w:sz w:val="20"/>
              </w:rPr>
              <w:t>【美術設計】</w:t>
            </w:r>
          </w:p>
        </w:tc>
      </w:tr>
      <w:tr>
        <w:trPr>
          <w:cantSplit/>
        </w:trPr>
        <w:tc>
          <w:tcPr>
            <w:tcW w:type="dxa" w:w="2835"/>
            <w:shd w:val="clear" w:color="auto" w:fill="F2F2F2"/>
          </w:tcPr>
          <w:p>
            <w:pPr w:adjustRightInd="1" w:snapToGrid="0">
              <w:spacing w:before="40" w:after="40" w:line="240" w:lineRule="auto"/>
              <w:jc w:val="left"/>
            </w:pPr>
            <w:r>
              <w:rPr>
                <w:rFonts w:eastAsia="標楷體" w:ascii="Times New Roman" w:hAnsi="Times New Roman"/>
                <w:b w:val="0"/>
                <w:i w:val="0"/>
                <w:sz w:val="18"/>
              </w:rPr>
              <w:t>UI/UX 視覺設計</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r>
      <w:tr>
        <w:trPr>
          <w:cantSplit/>
        </w:trPr>
        <w:tc>
          <w:tcPr>
            <w:tcW w:type="dxa" w:w="2835"/>
            <w:shd w:val="clear" w:color="auto" w:fill="FFFFFF"/>
          </w:tcPr>
          <w:p>
            <w:pPr w:adjustRightInd="1" w:snapToGrid="0">
              <w:spacing w:before="40" w:after="40" w:line="240" w:lineRule="auto"/>
              <w:jc w:val="left"/>
            </w:pPr>
            <w:r>
              <w:rPr>
                <w:rFonts w:eastAsia="標楷體" w:ascii="Times New Roman" w:hAnsi="Times New Roman"/>
                <w:b w:val="0"/>
                <w:i w:val="0"/>
                <w:sz w:val="18"/>
              </w:rPr>
              <w:t>品牌識別與配色風格</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r>
      <w:tr>
        <w:trPr>
          <w:cantSplit/>
        </w:trPr>
        <w:tc>
          <w:tcPr>
            <w:tcW w:type="dxa" w:w="2835"/>
            <w:shd w:val="clear" w:color="auto" w:fill="F2F2F2"/>
          </w:tcPr>
          <w:p>
            <w:pPr w:adjustRightInd="1" w:snapToGrid="0">
              <w:spacing w:before="40" w:after="40" w:line="240" w:lineRule="auto"/>
              <w:jc w:val="left"/>
            </w:pPr>
            <w:r>
              <w:rPr>
                <w:rFonts w:eastAsia="標楷體" w:ascii="Times New Roman" w:hAnsi="Times New Roman"/>
                <w:b w:val="0"/>
                <w:i w:val="0"/>
                <w:sz w:val="18"/>
              </w:rPr>
              <w:t>簡報與展示視覺設計</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r>
      <w:tr>
        <w:trPr>
          <w:cantSplit/>
        </w:trPr>
        <w:tc>
          <w:tcPr>
            <w:tcW w:type="dxa" w:w="1304"/>
            <w:gridSpan w:val="5"/>
            <w:shd w:val="clear" w:color="auto" w:fill="EDEDED"/>
          </w:tcPr>
          <w:p>
            <w:pPr w:adjustRightInd="1" w:snapToGrid="0">
              <w:spacing w:before="40" w:after="40" w:line="240" w:lineRule="auto"/>
              <w:jc w:val="left"/>
            </w:pPr>
            <w:r>
              <w:rPr>
                <w:rFonts w:eastAsia="標楷體" w:ascii="Times New Roman" w:hAnsi="Times New Roman"/>
                <w:b/>
                <w:i w:val="0"/>
                <w:sz w:val="20"/>
              </w:rPr>
              <w:t>【文件撰寫統整】</w:t>
            </w:r>
          </w:p>
        </w:tc>
      </w:tr>
      <w:tr>
        <w:trPr>
          <w:cantSplit/>
        </w:trPr>
        <w:tc>
          <w:tcPr>
            <w:tcW w:type="dxa" w:w="2835"/>
            <w:shd w:val="clear" w:color="auto" w:fill="F2F2F2"/>
          </w:tcPr>
          <w:p>
            <w:pPr w:adjustRightInd="1" w:snapToGrid="0">
              <w:spacing w:before="40" w:after="40" w:line="240" w:lineRule="auto"/>
              <w:jc w:val="left"/>
            </w:pPr>
            <w:r>
              <w:rPr>
                <w:rFonts w:eastAsia="標楷體" w:ascii="Times New Roman" w:hAnsi="Times New Roman"/>
                <w:b w:val="0"/>
                <w:i w:val="0"/>
                <w:sz w:val="18"/>
              </w:rPr>
              <w:t>系統手冊撰寫統整</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r>
      <w:tr>
        <w:trPr>
          <w:cantSplit/>
        </w:trPr>
        <w:tc>
          <w:tcPr>
            <w:tcW w:type="dxa" w:w="2835"/>
            <w:shd w:val="clear" w:color="auto" w:fill="FFFFFF"/>
          </w:tcPr>
          <w:p>
            <w:pPr w:adjustRightInd="1" w:snapToGrid="0">
              <w:spacing w:before="40" w:after="40" w:line="240" w:lineRule="auto"/>
              <w:jc w:val="left"/>
            </w:pPr>
            <w:r>
              <w:rPr>
                <w:rFonts w:eastAsia="標楷體" w:ascii="Times New Roman" w:hAnsi="Times New Roman"/>
                <w:b w:val="0"/>
                <w:i w:val="0"/>
                <w:sz w:val="18"/>
              </w:rPr>
              <w:t>GitHub 紀錄與版本管理</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FFFFF"/>
          </w:tcPr>
          <w:p>
            <w:pPr w:adjustRightInd="1" w:snapToGrid="0">
              <w:spacing w:before="40" w:after="40" w:line="240" w:lineRule="auto"/>
              <w:jc w:val="center"/>
            </w:pPr>
            <w:r>
              <w:rPr>
                <w:rFonts w:eastAsia="標楷體" w:ascii="Times New Roman" w:hAnsi="Times New Roman"/>
                <w:b w:val="0"/>
                <w:i w:val="0"/>
                <w:sz w:val="22"/>
              </w:rPr>
              <w:t>●</w:t>
            </w:r>
          </w:p>
        </w:tc>
      </w:tr>
      <w:tr>
        <w:trPr>
          <w:cantSplit/>
        </w:trPr>
        <w:tc>
          <w:tcPr>
            <w:tcW w:type="dxa" w:w="2835"/>
            <w:shd w:val="clear" w:color="auto" w:fill="F2F2F2"/>
          </w:tcPr>
          <w:p>
            <w:pPr w:adjustRightInd="1" w:snapToGrid="0">
              <w:spacing w:before="40" w:after="40" w:line="240" w:lineRule="auto"/>
              <w:jc w:val="left"/>
            </w:pPr>
            <w:r>
              <w:rPr>
                <w:rFonts w:eastAsia="標楷體" w:ascii="Times New Roman" w:hAnsi="Times New Roman"/>
                <w:b w:val="0"/>
                <w:i w:val="0"/>
                <w:sz w:val="18"/>
              </w:rPr>
              <w:t>期末簡報製作</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c>
          <w:tcPr>
            <w:tcW w:type="dxa" w:w="1304"/>
            <w:shd w:val="clear" w:color="auto" w:fill="F2F2F2"/>
          </w:tcPr>
          <w:p>
            <w:pPr w:adjustRightInd="1" w:snapToGrid="0">
              <w:spacing w:before="40" w:after="40" w:line="240" w:lineRule="auto"/>
              <w:jc w:val="center"/>
            </w:pPr>
            <w:r>
              <w:rPr>
                <w:rFonts w:eastAsia="標楷體" w:ascii="Times New Roman" w:hAnsi="Times New Roman"/>
                <w:b w:val="0"/>
                <w:i w:val="0"/>
                <w:sz w:val="22"/>
              </w:rPr>
              <w:t>●</w:t>
            </w:r>
          </w:p>
        </w:tc>
      </w:tr>
    </w:tbl>
    <w:p/>
    <w:p>
      <w:pPr w:adjustRightInd="1" w:snapToGrid="0">
        <w:spacing w:before="0" w:after="80" w:line="240" w:lineRule="auto"/>
        <w:jc w:val="both"/>
      </w:pPr>
      <w:r>
        <w:rPr>
          <w:rFonts w:eastAsia="標楷體" w:ascii="Times New Roman" w:hAnsi="Times New Roman"/>
          <w:b w:val="0"/>
          <w:i w:val="0"/>
          <w:sz w:val="28"/>
        </w:rPr>
        <w:t>各組員工作內容與貢獻度如表 4-2-2 所示：</w:t>
      </w:r>
    </w:p>
    <w:p>
      <w:pPr w:adjustRightInd="1" w:snapToGrid="0">
        <w:pStyle w:val="Caption"/>
        <w:spacing w:before="240" w:after="80" w:line="240" w:lineRule="auto"/>
        <w:jc w:val="center"/>
      </w:pPr>
      <w:r>
        <w:rPr>
          <w:rFonts w:eastAsia="標楷體" w:ascii="Times New Roman" w:hAnsi="Times New Roman"/>
          <w:b w:val="0"/>
          <w:i w:val="0"/>
          <w:sz w:val="28"/>
        </w:rPr>
        <w:t>表 4-</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專題成果工作內容與貢獻度表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序號</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姓名</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工作內容（各限 100 字以內）</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貢獻度</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1</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○○○（後端開發）</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負責整體系統架構與後端 API 開發（Django + DRF）、PostgreSQL 資料庫建置、點數計費系統（BillingService 原子交易機制）及 BFS 爬蟲與四維掃描引擎核心邏輯。</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25%</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○○○（前端開發）</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負責 React 18 前端 SPA 開發（掃描提交、結果展示）、ReactFlow 網站拓樸圖、後台管理介面開發及前端與後端 API 串接整合。</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25%</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3</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○○○（美術設計）</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負責全站 UI/UX 視覺設計、品牌識別與配色風格制定、簡報與展示視覺設計，並協助前端介面切版與美術資源產出。</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25%</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4</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○○○（文件撰寫統整）</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負責系統手冊撰寫與統整、GitHub 紀錄與版本管理、期末簡報製作，並協助系統整合測試與文件校對。</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25%</w:t>
            </w:r>
          </w:p>
        </w:tc>
      </w:tr>
    </w:tbl>
    <w:p/>
    <w:p>
      <w:pPr w:adjustRightInd="1" w:snapToGrid="0">
        <w:pStyle w:val="Heading2"/>
        <w:spacing w:before="240" w:after="120" w:line="240" w:lineRule="auto"/>
        <w:jc w:val="left"/>
      </w:pPr>
      <w:r>
        <w:rPr>
          <w:rFonts w:eastAsia="標楷體" w:ascii="Times New Roman" w:hAnsi="Times New Roman"/>
          <w:b/>
          <w:i w:val="0"/>
          <w:color w:val="000000"/>
          <w:sz w:val="32"/>
        </w:rPr>
        <w:t>4-3　上傳 GitHub 紀錄</w:t>
      </w:r>
    </w:p>
    <w:p>
      <w:pPr w:adjustRightInd="1" w:snapToGrid="0">
        <w:spacing w:before="0" w:after="80" w:line="240" w:lineRule="auto"/>
        <w:jc w:val="both"/>
        <w:ind w:firstLineChars="200"/>
      </w:pPr>
      <w:r>
        <w:rPr>
          <w:rFonts w:eastAsia="標楷體" w:ascii="Times New Roman" w:hAnsi="Times New Roman"/>
          <w:b w:val="0"/>
          <w:i w:val="0"/>
          <w:sz w:val="28"/>
        </w:rPr>
        <w:t>本專題原始碼統一於 GitHub 進行版本控制，採用 Git Flow 工作流程管理，主要分支說明如下：</w:t>
      </w:r>
    </w:p>
    <w:p>
      <w:pPr w:adjustRightInd="1" w:snapToGrid="0">
        <w:spacing w:before="0" w:after="60" w:line="240" w:lineRule="auto"/>
        <w:ind w:left="567" w:hanging="340"/>
      </w:pPr>
      <w:r>
        <w:rPr>
          <w:rFonts w:eastAsia="標楷體" w:ascii="Times New Roman" w:hAnsi="Times New Roman"/>
          <w:b w:val="0"/>
          <w:i w:val="0"/>
          <w:sz w:val="28"/>
        </w:rPr>
        <w:t>➤ main：正式部署分支，僅接受 Pull Request 合併，受保護分支</w:t>
      </w:r>
    </w:p>
    <w:p>
      <w:pPr w:adjustRightInd="1" w:snapToGrid="0">
        <w:spacing w:before="0" w:after="60" w:line="240" w:lineRule="auto"/>
        <w:ind w:left="567" w:hanging="340"/>
      </w:pPr>
      <w:r>
        <w:rPr>
          <w:rFonts w:eastAsia="標楷體" w:ascii="Times New Roman" w:hAnsi="Times New Roman"/>
          <w:b w:val="0"/>
          <w:i w:val="0"/>
          <w:sz w:val="28"/>
        </w:rPr>
        <w:t>➤ develop：主要開發整合分支，功能開發完成後 PR 至 develop</w:t>
      </w:r>
    </w:p>
    <w:p>
      <w:pPr w:adjustRightInd="1" w:snapToGrid="0">
        <w:spacing w:before="0" w:after="60" w:line="240" w:lineRule="auto"/>
        <w:ind w:left="567" w:hanging="340"/>
      </w:pPr>
      <w:r>
        <w:rPr>
          <w:rFonts w:eastAsia="標楷體" w:ascii="Times New Roman" w:hAnsi="Times New Roman"/>
          <w:b w:val="0"/>
          <w:i w:val="0"/>
          <w:sz w:val="28"/>
        </w:rPr>
        <w:t>➤ feature/*：各功能開發分支，完成後 PR 至 develop</w:t>
      </w:r>
    </w:p>
    <w:p>
      <w:pPr w:adjustRightInd="1" w:snapToGrid="0">
        <w:spacing w:before="0" w:after="60" w:line="240" w:lineRule="auto"/>
        <w:ind w:left="567" w:hanging="340"/>
      </w:pPr>
      <w:r>
        <w:rPr>
          <w:rFonts w:eastAsia="標楷體" w:ascii="Times New Roman" w:hAnsi="Times New Roman"/>
          <w:b w:val="0"/>
          <w:i w:val="0"/>
          <w:sz w:val="28"/>
        </w:rPr>
        <w:t>➤ hotfix/*：緊急修復分支，直接合併至 main 及 develop</w:t>
      </w:r>
    </w:p>
    <w:p>
      <w:pPr w:adjustRightInd="1" w:snapToGrid="0">
        <w:spacing w:before="0" w:after="80" w:line="240" w:lineRule="auto"/>
        <w:jc w:val="both"/>
      </w:pPr>
      <w:r>
        <w:rPr>
          <w:rFonts w:eastAsia="標楷體" w:ascii="Times New Roman" w:hAnsi="Times New Roman"/>
          <w:b w:val="0"/>
          <w:i w:val="0"/>
          <w:sz w:val="28"/>
        </w:rPr>
        <w:t>GitHub Repository：https://github.com/○○○/argus（請替換為實際網址）</w:t>
      </w:r>
    </w:p>
    <w:p>
      <w:pPr w:adjustRightInd="1" w:snapToGrid="0">
        <w:spacing w:before="0" w:after="80" w:line="240" w:lineRule="auto"/>
        <w:jc w:val="both"/>
      </w:pPr>
      <w:r>
        <w:rPr>
          <w:rFonts w:eastAsia="標楷體" w:ascii="Times New Roman" w:hAnsi="Times New Roman"/>
          <w:b w:val="0"/>
          <w:i w:val="0"/>
          <w:sz w:val="28"/>
        </w:rPr>
        <w:t>以下圖片為各組員的 GitHub 提交紀錄截圖，請於初評前各截一次：</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3" name="Picture 3"/>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4-</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GitHub 提交紀錄截圖</w:t>
      </w:r>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第5章　需求模型</w:t>
      </w:r>
    </w:p>
    <w:p>
      <w:pPr w:adjustRightInd="1" w:snapToGrid="0">
        <w:spacing w:before="0" w:after="80" w:line="240" w:lineRule="auto"/>
        <w:jc w:val="both"/>
      </w:pPr>
      <w:r>
        <w:rPr>
          <w:rFonts w:eastAsia="標楷體" w:ascii="Times New Roman" w:hAnsi="Times New Roman"/>
          <w:b w:val="0"/>
          <w:i w:val="0"/>
          <w:sz w:val="28"/>
        </w:rPr>
        <w:t>（系統分析與設計使用 UML 2.x 建模，所有 UML 圖碼見 plantuml_diagrams_v3.txt）</w:t>
      </w:r>
    </w:p>
    <w:p>
      <w:pPr w:adjustRightInd="1" w:snapToGrid="0">
        <w:pStyle w:val="Heading2"/>
        <w:spacing w:before="240" w:after="120" w:line="240" w:lineRule="auto"/>
        <w:jc w:val="left"/>
      </w:pPr>
      <w:r>
        <w:rPr>
          <w:rFonts w:eastAsia="標楷體" w:ascii="Times New Roman" w:hAnsi="Times New Roman"/>
          <w:b/>
          <w:i w:val="0"/>
          <w:color w:val="000000"/>
          <w:sz w:val="32"/>
        </w:rPr>
        <w:t>5-1　使用者需求</w:t>
      </w:r>
    </w:p>
    <w:p>
      <w:pPr w:adjustRightInd="1" w:snapToGrid="0">
        <w:spacing w:before="0" w:after="80" w:line="240" w:lineRule="auto"/>
        <w:jc w:val="both"/>
      </w:pPr>
      <w:r>
        <w:rPr>
          <w:rFonts w:eastAsia="標楷體" w:ascii="Times New Roman" w:hAnsi="Times New Roman"/>
          <w:b/>
          <w:i w:val="0"/>
          <w:sz w:val="28"/>
        </w:rPr>
        <w:t>（一）功能需求（Functional Requirements）</w:t>
      </w:r>
    </w:p>
    <w:p>
      <w:pPr w:adjustRightInd="1" w:snapToGrid="0">
        <w:pStyle w:val="Caption"/>
        <w:spacing w:before="240" w:after="80" w:line="240" w:lineRule="auto"/>
        <w:jc w:val="center"/>
      </w:pPr>
      <w:r>
        <w:rPr>
          <w:rFonts w:eastAsia="標楷體" w:ascii="Times New Roman" w:hAnsi="Times New Roman"/>
          <w:b w:val="0"/>
          <w:i w:val="0"/>
          <w:sz w:val="28"/>
        </w:rPr>
        <w:t>表 5-</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功能需求清單</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編號</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需求名稱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優先度</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FR-01</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使用者登入</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支援 Google OAuth 2.0 社群登入及開發模式帳密登入</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FR-02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提交掃描任務</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輸入目標 URL，選擇掃描模式（passive/active）與最大頁數</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FR-03</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SEO 掃描</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檢測 Meta 標籤、標題結構、圖片 alt、robots.txt、sitemap、頁面速度</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FR-04</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AEO 掃描</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檢測結構化資料（Schema.org JSON-LD）、FAQ/HowTo 標記、精選摘要適配性</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FR-05</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GEO 掃描</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評估語意密度、長尾關鍵字覆蓋率、AI 引擎可讀性評分</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FR-06</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資安被動掃描</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檢測 HTTPS/HSTS/CSP/XFO/XSS-Protection 等 HTTP 安全標頭</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FR-07</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BFS 網頁爬蟲</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以廣度優先搜尋爬取所有可達頁面，支援 max_depth / max_pages 設定</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FR-08</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點數計費</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hold→settle→refund 原子交易機制，支援月贈點與方案購買</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FR-09</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下載健檢報告</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掃描完成後自動生成 .docx 格式專業報告供下載</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高</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FR-10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ReactFlow 拓樸圖</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視覺化呈現 BFS 爬蟲涵蓋的頁面節點結構</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中</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FR-11</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管理員後台</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Staff 可管理使用者點數、查看掃描任務、回覆評論</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中</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FR-12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Hermes-Agent（Phase 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AI 代理以 observe→think→act 循環自動 UX 測試</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低</w:t>
            </w:r>
          </w:p>
        </w:tc>
      </w:tr>
    </w:tbl>
    <w:p/>
    <w:p>
      <w:pPr w:adjustRightInd="1" w:snapToGrid="0">
        <w:spacing w:before="0" w:after="80" w:line="240" w:lineRule="auto"/>
        <w:jc w:val="both"/>
      </w:pPr>
      <w:r>
        <w:rPr>
          <w:rFonts w:eastAsia="標楷體" w:ascii="Times New Roman" w:hAnsi="Times New Roman"/>
          <w:b/>
          <w:i w:val="0"/>
          <w:sz w:val="28"/>
        </w:rPr>
        <w:t>（二）非功能需求（Non-Functional Requirements）</w:t>
      </w:r>
    </w:p>
    <w:p>
      <w:pPr w:adjustRightInd="1" w:snapToGrid="0">
        <w:pStyle w:val="Caption"/>
        <w:spacing w:before="240" w:after="80" w:line="240" w:lineRule="auto"/>
        <w:jc w:val="center"/>
      </w:pPr>
      <w:r>
        <w:rPr>
          <w:rFonts w:eastAsia="標楷體" w:ascii="Times New Roman" w:hAnsi="Times New Roman"/>
          <w:b w:val="0"/>
          <w:i w:val="0"/>
          <w:sz w:val="28"/>
        </w:rPr>
        <w:t>表 5-</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非功能需求清單</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編號</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需求類別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需求說明</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衡量指標</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NFR-01</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效能</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掃描結果 API 回應時間 ≤ 500ms（P95）</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Locust 壓測 100 同時用戶</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NFR-02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可靠性</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系統可用性 ≥ 99%（月計算）</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Docker health check 自動重啟</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NFR-03</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安全性</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所有 API 端點須通過 JWT 或 Session 認證</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Django IsAuthenticated 防護</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NFR-04</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可維護性</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後端測試覆蓋率 ≥ 80%（Django TestCase）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192 項自動化測試</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NFR-05</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可擴展性</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Celery Worker 支援水平擴展（多 Worker 並行）</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Docker Compose scale</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NFR-06</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資料一致性</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計費操作使用 select_for_update + transaction.atomic</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BillingService 冪等保護</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NFR-07</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隱私合規</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API 端點不得直接回傳使用者個資，需透過 Serializer whitelist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DRF Serializer 實施</w:t>
            </w:r>
          </w:p>
        </w:tc>
      </w:tr>
    </w:tbl>
    <w:p/>
    <w:p>
      <w:pPr w:adjustRightInd="1" w:snapToGrid="0">
        <w:pStyle w:val="Heading2"/>
        <w:spacing w:before="240" w:after="120" w:line="240" w:lineRule="auto"/>
        <w:jc w:val="left"/>
      </w:pPr>
      <w:r>
        <w:rPr>
          <w:rFonts w:eastAsia="標楷體" w:ascii="Times New Roman" w:hAnsi="Times New Roman"/>
          <w:b/>
          <w:i w:val="0"/>
          <w:color w:val="000000"/>
          <w:sz w:val="32"/>
        </w:rPr>
        <w:t>5-2　使用個案圖（Use Case Diagram）</w:t>
      </w:r>
    </w:p>
    <w:p>
      <w:pPr w:adjustRightInd="1" w:snapToGrid="0">
        <w:spacing w:before="0" w:after="80" w:line="240" w:lineRule="auto"/>
        <w:jc w:val="both"/>
        <w:ind w:firstLineChars="200"/>
      </w:pPr>
      <w:r>
        <w:rPr>
          <w:rFonts w:eastAsia="標楷體" w:ascii="Times New Roman" w:hAnsi="Times New Roman"/>
          <w:b w:val="0"/>
          <w:i w:val="0"/>
          <w:sz w:val="28"/>
        </w:rPr>
        <w:t>系統定義三類參與者（Actor）：一般使用者（User）、管理員 Staff（Staff）及 Celery Worker（系統背景服務）。主要使用個案如圖 5-2-1 所示，涵蓋登入、提交掃描、查看結果、下載報告、購買點數、撰寫評論等 12 個案例。</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4" name="Picture 4"/>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5-</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使用個案圖（Use Case Diagram）</w:t>
      </w:r>
    </w:p>
    <w:p>
      <w:pPr w:adjustRightInd="1" w:snapToGrid="0">
        <w:pStyle w:val="Heading2"/>
        <w:spacing w:before="240" w:after="120" w:line="240" w:lineRule="auto"/>
        <w:jc w:val="left"/>
      </w:pPr>
      <w:r>
        <w:rPr>
          <w:rFonts w:eastAsia="標楷體" w:ascii="Times New Roman" w:hAnsi="Times New Roman"/>
          <w:b/>
          <w:i w:val="0"/>
          <w:color w:val="000000"/>
          <w:sz w:val="32"/>
        </w:rPr>
        <w:t>5-3　使用個案描述（Activity Diagram）</w:t>
      </w:r>
    </w:p>
    <w:p>
      <w:pPr w:adjustRightInd="1" w:snapToGrid="0">
        <w:spacing w:before="0" w:after="80" w:line="240" w:lineRule="auto"/>
        <w:jc w:val="both"/>
        <w:ind w:firstLineChars="200"/>
      </w:pPr>
      <w:r>
        <w:rPr>
          <w:rFonts w:eastAsia="標楷體" w:ascii="Times New Roman" w:hAnsi="Times New Roman"/>
          <w:b w:val="0"/>
          <w:i w:val="0"/>
          <w:sz w:val="28"/>
        </w:rPr>
        <w:t>以下以提交掃描任務為主要使用個案，以活動圖（Activity Diagram）描述從使用者輸入網址到系統完成掃描的完整流程，涵蓋輸入驗證、點數檢查、Celery 任務派發、BFS 爬蟲、四維掃描及報告生成六個主要階段，並標示失敗與取消路徑。</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5" name="Picture 5"/>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5-</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活動圖：提交掃描任務（Activity Diagram）</w:t>
      </w:r>
    </w:p>
    <w:p>
      <w:pPr w:adjustRightInd="1" w:snapToGrid="0">
        <w:pStyle w:val="Caption"/>
        <w:spacing w:before="240" w:after="80" w:line="240" w:lineRule="auto"/>
        <w:jc w:val="center"/>
      </w:pPr>
      <w:r>
        <w:rPr>
          <w:rFonts w:eastAsia="標楷體" w:ascii="Times New Roman" w:hAnsi="Times New Roman"/>
          <w:b w:val="0"/>
          <w:i w:val="0"/>
          <w:sz w:val="28"/>
        </w:rPr>
        <w:t>表 5-</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使用個案描述：提交掃描任務</w:t>
      </w:r>
    </w:p>
    <w:tbl>
      <w:tblPr>
        <w:tblStyle w:val="TableGrid"/>
        <w:tblW w:type="auto" w:w="0"/>
        <w:jc w:val="center"/>
        <w:tblLook w:firstColumn="1" w:firstRow="1" w:lastColumn="0" w:lastRow="0" w:noHBand="0" w:noVBand="1" w:val="04A0"/>
      </w:tblPr>
      <w:tblGrid>
        <w:gridCol w:w="5270"/>
        <w:gridCol w:w="5270"/>
      </w:tblGrid>
      <w:tr>
        <w:trPr>
          <w:cantSplit/>
          <w:tblHeader w:val="true"/>
        </w:trPr>
        <w:tc>
          <w:tcPr>
            <w:tcW w:type="dxa" w:w="5270"/>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w:t>
            </w:r>
          </w:p>
        </w:tc>
        <w:tc>
          <w:tcPr>
            <w:tcW w:type="dxa" w:w="5270"/>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5270"/>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使用個案名稱</w:t>
            </w:r>
          </w:p>
        </w:tc>
        <w:tc>
          <w:tcPr>
            <w:tcW w:type="dxa" w:w="5270"/>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提交掃描任務（Submit Scan Job）</w:t>
            </w:r>
          </w:p>
        </w:tc>
      </w:tr>
      <w:tr>
        <w:trPr>
          <w:cantSplit/>
        </w:trPr>
        <w:tc>
          <w:tcPr>
            <w:tcW w:type="dxa" w:w="5270"/>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主要參與者</w:t>
            </w:r>
          </w:p>
        </w:tc>
        <w:tc>
          <w:tcPr>
            <w:tcW w:type="dxa" w:w="5270"/>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一般使用者（User）</w:t>
            </w:r>
          </w:p>
        </w:tc>
      </w:tr>
      <w:tr>
        <w:trPr>
          <w:cantSplit/>
        </w:trPr>
        <w:tc>
          <w:tcPr>
            <w:tcW w:type="dxa" w:w="5270"/>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前置條件</w:t>
            </w:r>
          </w:p>
        </w:tc>
        <w:tc>
          <w:tcPr>
            <w:tcW w:type="dxa" w:w="5270"/>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使用者已登入，且錢包點數 ≥ 所需預扣額度</w:t>
            </w:r>
          </w:p>
        </w:tc>
      </w:tr>
      <w:tr>
        <w:trPr>
          <w:cantSplit/>
        </w:trPr>
        <w:tc>
          <w:tcPr>
            <w:tcW w:type="dxa" w:w="5270"/>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正常流程</w:t>
            </w:r>
          </w:p>
        </w:tc>
        <w:tc>
          <w:tcPr>
            <w:tcW w:type="dxa" w:w="5270"/>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1. 使用者輸入目標網址與掃描設定（模式、最大頁數）</w:t>
              <w:br/>
              <w:t>2. 系統驗證 URL 格式合法性</w:t>
              <w:br/>
              <w:t>3. BillingService 執行 hold_for_scan（預扣點數）</w:t>
              <w:br/>
              <w:t>4. 建立 ScanJob 記錄（status=queued）</w:t>
              <w:br/>
              <w:t>5. Celery 派發背景任務</w:t>
              <w:br/>
              <w:t>6. Worker 執行 BFS 爬蟲（status=crawling）</w:t>
              <w:br/>
              <w:t>7. Worker 逐頁執行四維掃描（status=scanning）</w:t>
              <w:br/>
              <w:t>8. 掃描完成，settle_scan_actual 結算實際點數</w:t>
              <w:br/>
              <w:t>9. 自動生成 Word 報告（status=completed）</w:t>
            </w:r>
          </w:p>
        </w:tc>
      </w:tr>
      <w:tr>
        <w:trPr>
          <w:cantSplit/>
        </w:trPr>
        <w:tc>
          <w:tcPr>
            <w:tcW w:type="dxa" w:w="5270"/>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替代流程</w:t>
            </w:r>
          </w:p>
        </w:tc>
        <w:tc>
          <w:tcPr>
            <w:tcW w:type="dxa" w:w="5270"/>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A1. URL 格式錯誤 → 回傳 HTTP 400</w:t>
              <w:br/>
              <w:t>A2. 點數不足 → 回傳 HTTP 402，引導至購買頁面</w:t>
              <w:br/>
              <w:t>A3. 使用者取消 → cancel API 呼叫，refund_full_for_scan 全退</w:t>
            </w:r>
          </w:p>
        </w:tc>
      </w:tr>
      <w:tr>
        <w:trPr>
          <w:cantSplit/>
        </w:trPr>
        <w:tc>
          <w:tcPr>
            <w:tcW w:type="dxa" w:w="5270"/>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後置條件</w:t>
            </w:r>
          </w:p>
        </w:tc>
        <w:tc>
          <w:tcPr>
            <w:tcW w:type="dxa" w:w="5270"/>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ScanJob.status=completed，Finding 已寫入資料庫，Word 報告可下載</w:t>
            </w:r>
          </w:p>
        </w:tc>
      </w:tr>
    </w:tbl>
    <w:p/>
    <w:p>
      <w:pPr w:adjustRightInd="1" w:snapToGrid="0">
        <w:pStyle w:val="Heading2"/>
        <w:spacing w:before="240" w:after="120" w:line="240" w:lineRule="auto"/>
        <w:jc w:val="left"/>
      </w:pPr>
      <w:r>
        <w:rPr>
          <w:rFonts w:eastAsia="標楷體" w:ascii="Times New Roman" w:hAnsi="Times New Roman"/>
          <w:b/>
          <w:i w:val="0"/>
          <w:color w:val="000000"/>
          <w:sz w:val="32"/>
        </w:rPr>
        <w:t>5-4　分析類別圖（Analysis Class Diagram）</w:t>
      </w:r>
    </w:p>
    <w:p>
      <w:pPr w:adjustRightInd="1" w:snapToGrid="0">
        <w:spacing w:before="0" w:after="80" w:line="240" w:lineRule="auto"/>
        <w:jc w:val="both"/>
        <w:ind w:firstLineChars="200"/>
      </w:pPr>
      <w:r>
        <w:rPr>
          <w:rFonts w:eastAsia="標楷體" w:ascii="Times New Roman" w:hAnsi="Times New Roman"/>
          <w:b w:val="0"/>
          <w:i w:val="0"/>
          <w:sz w:val="28"/>
        </w:rPr>
        <w:t>圖 5-4-1 為系統分析層級的類別圖，展示八個核心實體——User、ScanJob、Finding、Page、CoinWallet、CoinTransaction、PurchaseOrder 及 AgentSession（Phase 2，虛線框標示）——之間的關聯關係。</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6" name="Picture 6"/>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5-</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分析類別圖（Analysis Class Diagram）</w:t>
      </w:r>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第6章　設計模型</w:t>
      </w:r>
    </w:p>
    <w:p>
      <w:pPr w:adjustRightInd="1" w:snapToGrid="0">
        <w:pStyle w:val="Heading2"/>
        <w:spacing w:before="240" w:after="120" w:line="240" w:lineRule="auto"/>
        <w:jc w:val="left"/>
      </w:pPr>
      <w:r>
        <w:rPr>
          <w:rFonts w:eastAsia="標楷體" w:ascii="Times New Roman" w:hAnsi="Times New Roman"/>
          <w:b/>
          <w:i w:val="0"/>
          <w:color w:val="000000"/>
          <w:sz w:val="32"/>
        </w:rPr>
        <w:t>6-1　循序圖（Sequential Diagram）</w:t>
      </w:r>
    </w:p>
    <w:p>
      <w:pPr w:adjustRightInd="1" w:snapToGrid="0">
        <w:spacing w:before="0" w:after="80" w:line="240" w:lineRule="auto"/>
        <w:jc w:val="both"/>
        <w:ind w:firstLineChars="200"/>
      </w:pPr>
      <w:r>
        <w:rPr>
          <w:rFonts w:eastAsia="標楷體" w:ascii="Times New Roman" w:hAnsi="Times New Roman"/>
          <w:b w:val="0"/>
          <w:i w:val="0"/>
          <w:sz w:val="28"/>
        </w:rPr>
        <w:t>圖 6-1-1 為提交掃描任務之循序圖，涉及六個生命線：使用者瀏覽器（User Browser）、Django REST API（DRF）、計費服務（BillingService）、Celery 任務佇列（Celery Queue）、Celery Worker 及資料庫（PostgreSQL）。核心流程包含預扣點數（hold_for_scan）、任務入佇列、BFS 爬蟲、四維掃描、結算點數（settle_scan_actual）及 Word 報告生成共 18 個互動步驟。</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7" name="Picture 7"/>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6-</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掃描任務循序圖（Sequential Diagram）</w:t>
      </w:r>
    </w:p>
    <w:p>
      <w:pPr w:adjustRightInd="1" w:snapToGrid="0">
        <w:pStyle w:val="Heading2"/>
        <w:spacing w:before="240" w:after="120" w:line="240" w:lineRule="auto"/>
        <w:jc w:val="left"/>
      </w:pPr>
      <w:r>
        <w:rPr>
          <w:rFonts w:eastAsia="標楷體" w:ascii="Times New Roman" w:hAnsi="Times New Roman"/>
          <w:b/>
          <w:i w:val="0"/>
          <w:color w:val="000000"/>
          <w:sz w:val="32"/>
        </w:rPr>
        <w:t>6-2　設計類別圖（Design Class Diagram）</w:t>
      </w:r>
    </w:p>
    <w:p>
      <w:pPr w:adjustRightInd="1" w:snapToGrid="0">
        <w:spacing w:before="0" w:after="80" w:line="240" w:lineRule="auto"/>
        <w:jc w:val="both"/>
        <w:ind w:firstLineChars="200"/>
      </w:pPr>
      <w:r>
        <w:rPr>
          <w:rFonts w:eastAsia="標楷體" w:ascii="Times New Roman" w:hAnsi="Times New Roman"/>
          <w:b w:val="0"/>
          <w:i w:val="0"/>
          <w:sz w:val="28"/>
        </w:rPr>
        <w:t>圖 6-2-1 展示系統設計層級的類別圖，每個類別包含三個區塊：名稱、屬性及方法。BillingService 以 «service» 構造型標示，採用靜態方法設計，是 CoinWallet 與 CoinTransaction 的唯一合法寫入入口，所有計費操作透過 select_for_update + transaction.atomic 保護。</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8" name="Picture 8"/>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6-</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設計類別圖（Design Class Diagram）</w:t>
      </w:r>
    </w:p>
    <w:p>
      <w:pPr w:adjustRightInd="1" w:snapToGrid="0">
        <w:pStyle w:val="Caption"/>
        <w:spacing w:before="240" w:after="80" w:line="240" w:lineRule="auto"/>
        <w:jc w:val="center"/>
      </w:pPr>
      <w:r>
        <w:rPr>
          <w:rFonts w:eastAsia="標楷體" w:ascii="Times New Roman" w:hAnsi="Times New Roman"/>
          <w:b w:val="0"/>
          <w:i w:val="0"/>
          <w:sz w:val="28"/>
        </w:rPr>
        <w:t>表 6-</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設計類別主要屬性與方法規格</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類別名稱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主要屬性</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主要方法</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User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 username, email,</w:t>
              <w:br/>
              <w:t>is_staff, is_active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get_wallet(), is_staff_user()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繼承 Django AbstractUser</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ScanJob</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id(UUID), user, original_url,</w:t>
              <w:br/>
              <w:t>status, scan_mode, max_pages,</w:t>
              <w:br/>
              <w:t>progress(JSON), overall_score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cancel(), get_findings_summary()</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狀態機：queued→crawling→scanning→completed</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CoinWallet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 user, balance,</w:t>
              <w:br/>
              <w:t>total_purchased_ntd,</w:t>
              <w:br/>
              <w:t>last_bonus_year/month</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get_balance(), check_sufficient()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一對一對應 User，禁止直接 .save()</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CoinTransaction</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id, wallet, amount, type,</w:t>
              <w:br/>
              <w:t>scan(FK nullable), note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（唯讀）</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amount 正=入帳，負=扣款</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BillingService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（靜態類別，無實例屬性）</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hold_for_scan(scan, max_pages)</w:t>
              <w:br/>
              <w:t>settle_scan_actual(scan, actual_pages)</w:t>
              <w:br/>
              <w:t>refund_full_for_scan(scan)</w:t>
              <w:br/>
              <w:t>grant_monthly_bonus(user)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所有寫入操作的唯一入口，select_for_update 保護</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Finding</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id, page, category,</w:t>
              <w:br/>
              <w:t>severity, title,</w:t>
              <w:br/>
              <w:t>description, recommendation</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（查詢用）</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category: SEO/AEO/GEO/Security</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Page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 scan, url,</w:t>
              <w:br/>
              <w:t>status_code, title, depth</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（查詢用）</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BFS 爬取的每一頁面</w:t>
            </w:r>
          </w:p>
        </w:tc>
      </w:tr>
    </w:tbl>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第7章　實作模型</w:t>
      </w:r>
    </w:p>
    <w:p>
      <w:pPr w:adjustRightInd="1" w:snapToGrid="0">
        <w:pStyle w:val="Heading2"/>
        <w:spacing w:before="240" w:after="120" w:line="240" w:lineRule="auto"/>
        <w:jc w:val="left"/>
      </w:pPr>
      <w:r>
        <w:rPr>
          <w:rFonts w:eastAsia="標楷體" w:ascii="Times New Roman" w:hAnsi="Times New Roman"/>
          <w:b/>
          <w:i w:val="0"/>
          <w:color w:val="000000"/>
          <w:sz w:val="32"/>
        </w:rPr>
        <w:t>7-1　佈署圖（Deployment Diagram）</w:t>
      </w:r>
    </w:p>
    <w:p>
      <w:pPr w:adjustRightInd="1" w:snapToGrid="0">
        <w:spacing w:before="0" w:after="80" w:line="240" w:lineRule="auto"/>
        <w:jc w:val="both"/>
        <w:ind w:firstLineChars="200"/>
      </w:pPr>
      <w:r>
        <w:rPr>
          <w:rFonts w:eastAsia="標楷體" w:ascii="Times New Roman" w:hAnsi="Times New Roman"/>
          <w:b w:val="0"/>
          <w:i w:val="0"/>
          <w:sz w:val="28"/>
        </w:rPr>
        <w:t>Argus 採用 Docker Compose 進行容器化部署，如圖 7-1-1 所示，由五個容器組成：nginx（反向代理，port 80/443）、web（Django + React SPA，port 8000）、worker（Celery 背景任務處理器）、redis（任務佇列 Broker，port 6379）及 db（PostgreSQL，port 5432）。所有容器透過 Docker Bridge Network 互通，外部流量統一由 nginx 路由。正式環境另透過 Cloudflare Tunnel 提供 HTTPS 加密通道。</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9" name="Picture 9"/>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7-</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Docker Compose 佈署圖（Deployment Diagram）</w:t>
      </w:r>
    </w:p>
    <w:p>
      <w:pPr w:adjustRightInd="1" w:snapToGrid="0">
        <w:pStyle w:val="Caption"/>
        <w:spacing w:before="240" w:after="80" w:line="240" w:lineRule="auto"/>
        <w:jc w:val="center"/>
      </w:pPr>
      <w:r>
        <w:rPr>
          <w:rFonts w:eastAsia="標楷體" w:ascii="Times New Roman" w:hAnsi="Times New Roman"/>
          <w:b w:val="0"/>
          <w:i w:val="0"/>
          <w:sz w:val="28"/>
        </w:rPr>
        <w:t>表 7-</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容器通訊規格</w:t>
      </w:r>
    </w:p>
    <w:tbl>
      <w:tblPr>
        <w:tblStyle w:val="TableGrid"/>
        <w:tblW w:type="auto" w:w="0"/>
        <w:jc w:val="center"/>
        <w:tblLook w:firstColumn="1" w:firstRow="1" w:lastColumn="0" w:lastRow="0" w:noHBand="0" w:noVBand="1" w:val="04A0"/>
      </w:tblPr>
      <w:tblGrid>
        <w:gridCol w:w="2108"/>
        <w:gridCol w:w="2108"/>
        <w:gridCol w:w="2108"/>
        <w:gridCol w:w="2108"/>
        <w:gridCol w:w="2108"/>
      </w:tblGrid>
      <w:tr>
        <w:trPr>
          <w:cantSplit/>
          <w:tblHeader w:val="true"/>
        </w:trPr>
        <w:tc>
          <w:tcPr>
            <w:tcW w:type="dxa" w:w="2108"/>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容器名稱</w:t>
            </w:r>
          </w:p>
        </w:tc>
        <w:tc>
          <w:tcPr>
            <w:tcW w:type="dxa" w:w="2108"/>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映像</w:t>
            </w:r>
          </w:p>
        </w:tc>
        <w:tc>
          <w:tcPr>
            <w:tcW w:type="dxa" w:w="2108"/>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對外埠</w:t>
            </w:r>
          </w:p>
        </w:tc>
        <w:tc>
          <w:tcPr>
            <w:tcW w:type="dxa" w:w="2108"/>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對內通訊</w:t>
            </w:r>
          </w:p>
        </w:tc>
        <w:tc>
          <w:tcPr>
            <w:tcW w:type="dxa" w:w="2108"/>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職責</w:t>
            </w:r>
          </w:p>
        </w:tc>
      </w:tr>
      <w:tr>
        <w:trPr>
          <w:cantSplit/>
        </w:trPr>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nginx</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nginx:1.26-alpine</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80, 443</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web:8000</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SSL 終止、靜態資源、反向代理</w:t>
            </w:r>
          </w:p>
        </w:tc>
      </w:tr>
      <w:tr>
        <w:trPr>
          <w:cantSplit/>
        </w:trPr>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web</w:t>
            </w:r>
          </w:p>
        </w:tc>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python:3.12-slim</w:t>
            </w:r>
          </w:p>
        </w:tc>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8000（內部）</w:t>
            </w:r>
          </w:p>
        </w:tc>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db:5432, redis:6379</w:t>
            </w:r>
          </w:p>
        </w:tc>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Django + DRF + React SPA</w:t>
            </w:r>
          </w:p>
        </w:tc>
      </w:tr>
      <w:tr>
        <w:trPr>
          <w:cantSplit/>
        </w:trPr>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worker</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（同 web 映像）</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無</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db:5432, redis:6379</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Celery Worker，執行掃描任務</w:t>
            </w:r>
          </w:p>
        </w:tc>
      </w:tr>
      <w:tr>
        <w:trPr>
          <w:cantSplit/>
        </w:trPr>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redis</w:t>
            </w:r>
          </w:p>
        </w:tc>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redis:7.2-alpine</w:t>
            </w:r>
          </w:p>
        </w:tc>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6379（內部）</w:t>
            </w:r>
          </w:p>
        </w:tc>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worker, web</w:t>
            </w:r>
          </w:p>
        </w:tc>
        <w:tc>
          <w:tcPr>
            <w:tcW w:type="dxa" w:w="2108"/>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Celery Broker + 結果快取</w:t>
            </w:r>
          </w:p>
        </w:tc>
      </w:tr>
      <w:tr>
        <w:trPr>
          <w:cantSplit/>
        </w:trPr>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db</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postgres:16-alpine</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5432（內部）</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web, worker</w:t>
            </w:r>
          </w:p>
        </w:tc>
        <w:tc>
          <w:tcPr>
            <w:tcW w:type="dxa" w:w="2108"/>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PostgreSQL 主資料庫</w:t>
            </w:r>
          </w:p>
        </w:tc>
      </w:tr>
    </w:tbl>
    <w:p/>
    <w:p>
      <w:pPr w:adjustRightInd="1" w:snapToGrid="0">
        <w:pStyle w:val="Heading2"/>
        <w:spacing w:before="240" w:after="120" w:line="240" w:lineRule="auto"/>
        <w:jc w:val="left"/>
      </w:pPr>
      <w:r>
        <w:rPr>
          <w:rFonts w:eastAsia="標楷體" w:ascii="Times New Roman" w:hAnsi="Times New Roman"/>
          <w:b/>
          <w:i w:val="0"/>
          <w:color w:val="000000"/>
          <w:sz w:val="32"/>
        </w:rPr>
        <w:t>7-2　套件圖（Package Diagram）</w:t>
      </w:r>
    </w:p>
    <w:p>
      <w:pPr w:adjustRightInd="1" w:snapToGrid="0">
        <w:spacing w:before="0" w:after="80" w:line="240" w:lineRule="auto"/>
        <w:jc w:val="both"/>
        <w:ind w:firstLineChars="200"/>
      </w:pPr>
      <w:r>
        <w:rPr>
          <w:rFonts w:eastAsia="標楷體" w:ascii="Times New Roman" w:hAnsi="Times New Roman"/>
          <w:b w:val="0"/>
          <w:i w:val="0"/>
          <w:sz w:val="28"/>
        </w:rPr>
        <w:t>圖 7-2-1 為 Django 後端的套件架構圖，展示 backend/apps/ 下七個 Django App 的依賴關係。各 App 職責清晰分離，所有 App 共用 config（Django 設定與路由）作為根套件。</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10" name="Picture 10"/>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7-</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套件架構圖（Package Diagram）</w:t>
      </w:r>
    </w:p>
    <w:p>
      <w:pPr w:adjustRightInd="1" w:snapToGrid="0">
        <w:pStyle w:val="Heading2"/>
        <w:spacing w:before="240" w:after="120" w:line="240" w:lineRule="auto"/>
        <w:jc w:val="left"/>
      </w:pPr>
      <w:r>
        <w:rPr>
          <w:rFonts w:eastAsia="標楷體" w:ascii="Times New Roman" w:hAnsi="Times New Roman"/>
          <w:b/>
          <w:i w:val="0"/>
          <w:color w:val="000000"/>
          <w:sz w:val="32"/>
        </w:rPr>
        <w:t>7-3　元件圖（Component Diagram）</w:t>
      </w:r>
    </w:p>
    <w:p>
      <w:pPr w:adjustRightInd="1" w:snapToGrid="0">
        <w:spacing w:before="0" w:after="80" w:line="240" w:lineRule="auto"/>
        <w:jc w:val="both"/>
        <w:ind w:firstLineChars="200"/>
      </w:pPr>
      <w:r>
        <w:rPr>
          <w:rFonts w:eastAsia="標楷體" w:ascii="Times New Roman" w:hAnsi="Times New Roman"/>
          <w:b w:val="0"/>
          <w:i w:val="0"/>
          <w:sz w:val="28"/>
        </w:rPr>
        <w:t>圖 7-3-1 以 UML 元件圖呈現系統各主要元件及其介面。元件包含 Browser（客戶端）、Nginx（:443）、Django Application（:8000）、Celery Worker、Redis Broker（:6379）、PostgreSQL（:5432）及 Playwright Chromium（虛線，外部爬蟲目標）。</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11" name="Picture 11"/>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7-</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系統元件圖（Component Diagram）</w:t>
      </w:r>
    </w:p>
    <w:p>
      <w:pPr w:adjustRightInd="1" w:snapToGrid="0">
        <w:pStyle w:val="Heading2"/>
        <w:spacing w:before="240" w:after="120" w:line="240" w:lineRule="auto"/>
        <w:jc w:val="left"/>
      </w:pPr>
      <w:r>
        <w:rPr>
          <w:rFonts w:eastAsia="標楷體" w:ascii="Times New Roman" w:hAnsi="Times New Roman"/>
          <w:b/>
          <w:i w:val="0"/>
          <w:color w:val="000000"/>
          <w:sz w:val="32"/>
        </w:rPr>
        <w:t>7-4　狀態機（State Machine）</w:t>
      </w:r>
    </w:p>
    <w:p>
      <w:pPr w:adjustRightInd="1" w:snapToGrid="0">
        <w:spacing w:before="0" w:after="80" w:line="240" w:lineRule="auto"/>
        <w:jc w:val="both"/>
        <w:ind w:firstLineChars="200"/>
      </w:pPr>
      <w:r>
        <w:rPr>
          <w:rFonts w:eastAsia="標楷體" w:ascii="Times New Roman" w:hAnsi="Times New Roman"/>
          <w:b w:val="0"/>
          <w:i w:val="0"/>
          <w:sz w:val="28"/>
        </w:rPr>
        <w:t>圖 7-4-1 為 ScanJob 掃描任務的狀態機圖，描述任務從建立到終止的完整生命週期。在任何階段均可轉入 failed（失敗）或 cancelled（已取消）終止狀態。</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12" name="Picture 12"/>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7-</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ScanJob 狀態機圖（State Machine）</w:t>
      </w:r>
    </w:p>
    <w:p>
      <w:pPr w:adjustRightInd="1" w:snapToGrid="0">
        <w:pStyle w:val="Caption"/>
        <w:spacing w:before="240" w:after="80" w:line="240" w:lineRule="auto"/>
        <w:jc w:val="center"/>
      </w:pPr>
      <w:r>
        <w:rPr>
          <w:rFonts w:eastAsia="標楷體" w:ascii="Times New Roman" w:hAnsi="Times New Roman"/>
          <w:b w:val="0"/>
          <w:i w:val="0"/>
          <w:sz w:val="28"/>
        </w:rPr>
        <w:t>表 7-</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ScanJob 狀態說明</w:t>
      </w:r>
    </w:p>
    <w:tbl>
      <w:tblPr>
        <w:tblStyle w:val="TableGrid"/>
        <w:tblW w:type="auto" w:w="0"/>
        <w:jc w:val="center"/>
        <w:tblLook w:firstColumn="1" w:firstRow="1" w:lastColumn="0" w:lastRow="0" w:noHBand="0" w:noVBand="1" w:val="04A0"/>
      </w:tblPr>
      <w:tblGrid>
        <w:gridCol w:w="3513"/>
        <w:gridCol w:w="3513"/>
        <w:gridCol w:w="3513"/>
      </w:tblGrid>
      <w:tr>
        <w:trPr>
          <w:cantSplit/>
          <w:tblHeader w:val="true"/>
        </w:trPr>
        <w:tc>
          <w:tcPr>
            <w:tcW w:type="dxa" w:w="3513"/>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狀態</w:t>
            </w:r>
          </w:p>
        </w:tc>
        <w:tc>
          <w:tcPr>
            <w:tcW w:type="dxa" w:w="3513"/>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觸發條件</w:t>
            </w:r>
          </w:p>
        </w:tc>
        <w:tc>
          <w:tcPr>
            <w:tcW w:type="dxa" w:w="3513"/>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queued</w:t>
            </w:r>
          </w:p>
        </w:tc>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ScanJob 建立後立即</w:t>
            </w:r>
          </w:p>
        </w:tc>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任務已排入 Celery 佇列，等待 Worker 處理</w:t>
            </w:r>
          </w:p>
        </w:tc>
      </w:tr>
      <w:tr>
        <w:trPr>
          <w:cantSplit/>
        </w:trPr>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crawling</w:t>
            </w:r>
          </w:p>
        </w:tc>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Worker 開始執行</w:t>
            </w:r>
          </w:p>
        </w:tc>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Playwright BFS 爬蟲啟動，爬取可達頁面</w:t>
            </w:r>
          </w:p>
        </w:tc>
      </w:tr>
      <w:tr>
        <w:trPr>
          <w:cantSplit/>
        </w:trPr>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scanning</w:t>
            </w:r>
          </w:p>
        </w:tc>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爬蟲階段完成</w:t>
            </w:r>
          </w:p>
        </w:tc>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逐頁執行四維掃描引擎（SEO/AEO/GEO/Security）</w:t>
            </w:r>
          </w:p>
        </w:tc>
      </w:tr>
      <w:tr>
        <w:trPr>
          <w:cantSplit/>
        </w:trPr>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agent_testing</w:t>
            </w:r>
          </w:p>
        </w:tc>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scanning 完成（Phase 2）</w:t>
            </w:r>
          </w:p>
        </w:tc>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Hermes-Agent AI 代理執行 UX 自動測試</w:t>
            </w:r>
          </w:p>
        </w:tc>
      </w:tr>
      <w:tr>
        <w:trPr>
          <w:cantSplit/>
        </w:trPr>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completed</w:t>
            </w:r>
          </w:p>
        </w:tc>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所有掃描階段完成</w:t>
            </w:r>
          </w:p>
        </w:tc>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結算點數（settle_scan_actual），產生 Word 報告</w:t>
            </w:r>
          </w:p>
        </w:tc>
      </w:tr>
      <w:tr>
        <w:trPr>
          <w:cantSplit/>
        </w:trPr>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failed</w:t>
            </w:r>
          </w:p>
        </w:tc>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任何階段發生例外</w:t>
            </w:r>
          </w:p>
        </w:tc>
        <w:tc>
          <w:tcPr>
            <w:tcW w:type="dxa" w:w="3513"/>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記錄錯誤訊息，執行 refund_full_for_scan 全退點數</w:t>
            </w:r>
          </w:p>
        </w:tc>
      </w:tr>
      <w:tr>
        <w:trPr>
          <w:cantSplit/>
        </w:trPr>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cancelled</w:t>
            </w:r>
          </w:p>
        </w:tc>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使用者呼叫 cancel API</w:t>
            </w:r>
          </w:p>
        </w:tc>
        <w:tc>
          <w:tcPr>
            <w:tcW w:type="dxa" w:w="3513"/>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Worker 協作式取消，執行 refund_full_for_scan 全退</w:t>
            </w:r>
          </w:p>
        </w:tc>
      </w:tr>
    </w:tbl>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第8章　資料庫設計</w:t>
      </w:r>
    </w:p>
    <w:p>
      <w:pPr w:adjustRightInd="1" w:snapToGrid="0">
        <w:pStyle w:val="Heading2"/>
        <w:spacing w:before="240" w:after="120" w:line="240" w:lineRule="auto"/>
        <w:jc w:val="left"/>
      </w:pPr>
      <w:r>
        <w:rPr>
          <w:rFonts w:eastAsia="標楷體" w:ascii="Times New Roman" w:hAnsi="Times New Roman"/>
          <w:b/>
          <w:i w:val="0"/>
          <w:color w:val="000000"/>
          <w:sz w:val="32"/>
        </w:rPr>
        <w:t>8-1　資料庫關聯表</w:t>
      </w:r>
    </w:p>
    <w:p>
      <w:pPr w:adjustRightInd="1" w:snapToGrid="0">
        <w:spacing w:before="0" w:after="80" w:line="240" w:lineRule="auto"/>
        <w:jc w:val="both"/>
        <w:ind w:firstLineChars="200"/>
      </w:pPr>
      <w:r>
        <w:rPr>
          <w:rFonts w:eastAsia="標楷體" w:ascii="Times New Roman" w:hAnsi="Times New Roman"/>
          <w:b w:val="0"/>
          <w:i w:val="0"/>
          <w:sz w:val="28"/>
        </w:rPr>
        <w:t>Argus 系統採用 PostgreSQL 16 作為主要關聯式資料庫，共包含 10 個資料表，對應 Django 的 7 個 App 模型。核心實體為 auth_user，向左連接計費系統（billing_coinwallet、billing_cointransaction、billing_pricingplan、billing_purchaseorder），向右連接掃描系統（scans_scanjob、scans_page、scans_finding），向下連接評論（reviews_platformreview）與稽核（admin_api_adminauditlog）。ER 圖如圖 8-1-1 所示（PlantUML 圖碼見 plantuml_diagrams_v3.txt）。</w:t>
      </w:r>
    </w:p>
    <w:p>
      <w:pPr w:adjustRightInd="1" w:snapToGrid="0">
        <w:spacing w:before="120" w:after="0" w:line="240" w:lineRule="auto"/>
        <w:jc w:val="center"/>
      </w:pPr>
      <w:r>
        <w:drawing>
          <wp:inline xmlns:a="http://schemas.openxmlformats.org/drawingml/2006/main" xmlns:pic="http://schemas.openxmlformats.org/drawingml/2006/picture">
            <wp:extent cx="5040000" cy="5040000"/>
            <wp:docPr id="13" name="Picture 13"/>
            <wp:cNvGraphicFramePr>
              <a:graphicFrameLocks noChangeAspect="1"/>
            </wp:cNvGraphicFramePr>
            <a:graphic>
              <a:graphicData uri="http://schemas.openxmlformats.org/drawingml/2006/picture">
                <pic:pic>
                  <pic:nvPicPr>
                    <pic:cNvPr id="0" name="留空用照片.png"/>
                    <pic:cNvPicPr/>
                  </pic:nvPicPr>
                  <pic:blipFill>
                    <a:blip r:embed="rId11"/>
                    <a:stretch>
                      <a:fillRect/>
                    </a:stretch>
                  </pic:blipFill>
                  <pic:spPr>
                    <a:xfrm>
                      <a:off x="0" y="0"/>
                      <a:ext cx="5040000" cy="5040000"/>
                    </a:xfrm>
                    <a:prstGeom prst="rect"/>
                  </pic:spPr>
                </pic:pic>
              </a:graphicData>
            </a:graphic>
          </wp:inline>
        </w:drawing>
      </w:r>
    </w:p>
    <w:p>
      <w:pPr w:adjustRightInd="1" w:snapToGrid="0">
        <w:pStyle w:val="Caption"/>
        <w:spacing w:before="80" w:after="240" w:line="240" w:lineRule="auto"/>
        <w:jc w:val="center"/>
      </w:pPr>
      <w:r>
        <w:rPr>
          <w:rFonts w:eastAsia="標楷體" w:ascii="Times New Roman" w:hAnsi="Times New Roman"/>
          <w:b w:val="0"/>
          <w:i w:val="0"/>
          <w:sz w:val="28"/>
        </w:rPr>
        <w:t>圖 8-</w:t>
      </w:r>
      <w:r>
        <w:rPr>
          <w:rFonts w:eastAsia="標楷體" w:ascii="Times New Roman" w:hAnsi="Times New Roman"/>
          <w:b w:val="0"/>
          <w:i w:val="0"/>
          <w:sz w:val="28"/>
        </w:rPr>
        <w:fldChar w:fldCharType="begin"/>
        <w:instrText xml:space="preserve"> SEQ 圖 \s 1 \* ARABIC </w:instrText>
        <w:fldChar w:fldCharType="end"/>
      </w:r>
      <w:r>
        <w:rPr>
          <w:rFonts w:eastAsia="標楷體" w:ascii="Times New Roman" w:hAnsi="Times New Roman"/>
          <w:b w:val="0"/>
          <w:i w:val="0"/>
          <w:sz w:val="28"/>
        </w:rPr>
        <w:t xml:space="preserve">　資料庫 ER 圖（Entity-Relationship Diagram）</w:t>
      </w:r>
    </w:p>
    <w:p>
      <w:pPr w:adjustRightInd="1" w:snapToGrid="0">
        <w:pStyle w:val="Heading2"/>
        <w:spacing w:before="240" w:after="120" w:line="240" w:lineRule="auto"/>
        <w:jc w:val="left"/>
      </w:pPr>
      <w:r>
        <w:rPr>
          <w:rFonts w:eastAsia="標楷體" w:ascii="Times New Roman" w:hAnsi="Times New Roman"/>
          <w:b/>
          <w:i w:val="0"/>
          <w:color w:val="000000"/>
          <w:sz w:val="32"/>
        </w:rPr>
        <w:t>8-2　表格及其 Meta Data</w:t>
      </w:r>
    </w:p>
    <w:p>
      <w:pPr w:adjustRightInd="1" w:snapToGrid="0">
        <w:spacing w:before="0" w:after="80" w:line="240" w:lineRule="auto"/>
        <w:jc w:val="both"/>
      </w:pPr>
      <w:r>
        <w:rPr>
          <w:rFonts w:eastAsia="標楷體" w:ascii="Times New Roman" w:hAnsi="Times New Roman"/>
          <w:b w:val="0"/>
          <w:i w:val="0"/>
          <w:sz w:val="28"/>
        </w:rPr>
        <w:t>以下依序說明系統 10 個資料表的欄位定義與限制（Constraints）。</w:t>
      </w:r>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auth_user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使用者唯一識別碼（自動遞增）</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username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VARCHAR(150)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UNIQUE,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登入帳號</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email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VARCHAR(254)</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UNIQUE,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電子信箱</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first_name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VARCHAR(150)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名字</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last_name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VARCHAR(150)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姓氏</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is_staff</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BOOLEAN</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FALSE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Staff 管理員旗標</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is_active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BOOLEAN</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TRUE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帳號啟用狀態</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is_superuser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BOOLEAN</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FALSE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超級管理員旗標</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date_joined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帳號建立時間</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last_login</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最近登入時間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billing_coinwallet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錢包唯一識別碼</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user_id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FK→auth_user, UNIQUE,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關聯使用者（一對一）</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balance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0, CHECK(≥0)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目前點數餘額</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total_purchased_ntd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DECIMAL(10,2)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累計購買金額（NT$）</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total_scans_used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累計掃描次數</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last_bonus_year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最近月贈點年份（冪等鎖）</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last_bonus_month</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最近月贈點月份（冪等鎖）</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建立時間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billing_cointransaction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交易唯一識別碼</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wallet_id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FK→billing_coinwallet,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關聯錢包</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amount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交易點數（正=入帳，負=扣款）</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type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VARCHAR(20)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枚舉：purchase/hold/settle/refund/bonus/manual</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scan_id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UUID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FK→scans_scanjob,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關聯掃描任務（可為 NULL）</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TEXT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備註說明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交易時間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billing_pricingplan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方案唯一識別碼</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name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VARCHAR(100)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方案名稱（如：基本方案 100 點）</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coins</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CHECK(&gt;0)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購買所得點數</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price_ntd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DECIMAL(8,0)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CHECK(&gt;0)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定價（新台幣）</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is_active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BOOLEAN</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TRUE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是否上架中</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建立時間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billing_purchaseorder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UUID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訂單唯一識別碼（UUID 防爬蟲）</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user_id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FK→auth_user,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關聯使用者</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plan_id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FK→billing_pricingplan,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關聯購買方案</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transaction_id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FK→billing_cointransaction,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關聯點數入帳交易</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status</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VARCHAR(20)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枚舉：pending/paid/failed/refunded</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建立時間</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paid_at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付款完成時間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scans_scanjob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UUID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任務唯一識別碼（UUID 防爬蟲探測）</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user_id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FK→auth_user,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關聯使用者</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original_url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VARCHAR(2048)</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目標網站 URL</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status</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VARCHAR(20)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'queued'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狀態機：queued/crawling/scanning/agent_testing/completed/failed/cancelled</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scan_mode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VARCHAR(20)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'passive'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掃描模式：passive/active</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max_depth</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3</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BFS 最大爬取深度</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max_pages</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50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BFS 最大爬取頁數</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progress</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JSONB</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即時進度（pages_crawled/pages_scanned 等）</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overall_score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DECIMAL(5,2)</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綜合評分（0–100）</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category_scores</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JSONB</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各維度評分 {SEO:xx, AEO:xx, GEO:xx, Security:xx}</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top_actions</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JSONB</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前 5 項改善建議清單</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建立時間</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updated_at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最後更新時間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scans_page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頁面唯一識別碼</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scan_id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UUID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FK→scans_scanjob,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關聯掃描任務</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url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VARCHAR(2048)</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頁面 URL</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status_code</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HTTP 狀態碼</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title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VARCHAR(500)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頁面標題</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depth</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 DEFAULT 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BFS 爬取深度</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screenshot_path</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VARCHAR(500)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截圖檔案路徑</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爬取時間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scans_finding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發現事項唯一識別碼</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page_id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FK→scans_page,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關聯頁面</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category</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VARCHAR(20)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掃描維度：SEO/AEO/GEO/Security</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severity</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VARCHAR(20)</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嚴重程度：high/medium/low/info</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title</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VARCHAR(200)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問題標題</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description</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TEXT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詳細說明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recommendation</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TEXT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改善建議</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發現時間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reviews_platformreview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評論唯一識別碼</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user_id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FK→auth_user, UNIQUE（主評論）,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關聯使用者（每人一則主評論）</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rating</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SMALLINT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CHECK(1≤rating≤5)</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評分（1–5 星）</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content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TEXT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評論內容</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images</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JSONB</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附圖 URL 清單</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parent_id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FK→self,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父評論（用於 thread 回覆結構）</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評論時間</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updated_at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最後修改時間</w:t>
            </w:r>
          </w:p>
        </w:tc>
      </w:tr>
    </w:tbl>
    <w:p/>
    <w:p>
      <w:pPr w:adjustRightInd="1" w:snapToGrid="0">
        <w:pStyle w:val="Caption"/>
        <w:spacing w:before="240" w:after="80" w:line="240" w:lineRule="auto"/>
        <w:jc w:val="center"/>
      </w:pPr>
      <w:r>
        <w:rPr>
          <w:rFonts w:eastAsia="標楷體" w:ascii="Times New Roman" w:hAnsi="Times New Roman"/>
          <w:b w:val="0"/>
          <w:i w:val="0"/>
          <w:sz w:val="28"/>
        </w:rPr>
        <w:t>表 8-</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admin_api_adminauditlog 資料表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欄位名稱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資料型別</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限制</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說明</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id</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SERIAL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PK, 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稽核日誌唯一識別碼</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actor_id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FK→auth_user, 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執行操作的 Staff 管理員</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action</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VARCHAR(100)</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操作類型（如：adjust_coins、reply_review）</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target_user_id</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INTEGER</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FK→auth_user,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被操作的目標使用者</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detail</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JSONB</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NOT NULL, DEFAULT '{}'</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操作詳細資料（金額、原因等）</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created_at</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TIMESTAMPTZ</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NOT NULL</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操作時間（禁止刪除此表紀錄）</w:t>
            </w:r>
          </w:p>
        </w:tc>
      </w:tr>
    </w:tbl>
    <w:p/>
    <w:p>
      <w:r>
        <w:br w:type="page"/>
      </w:r>
    </w:p>
    <w:p>
      <w:pPr w:adjustRightInd="1" w:snapToGrid="0">
        <w:pStyle w:val="Heading1"/>
        <w:spacing w:before="360" w:after="200" w:line="240" w:lineRule="auto"/>
        <w:jc w:val="left"/>
      </w:pPr>
      <w:r>
        <w:rPr>
          <w:rFonts w:eastAsia="標楷體" w:ascii="Times New Roman" w:hAnsi="Times New Roman"/>
          <w:b/>
          <w:i w:val="0"/>
          <w:color w:val="000000"/>
          <w:sz w:val="36"/>
        </w:rPr>
        <w:t>參考資料</w:t>
      </w:r>
    </w:p>
    <w:p>
      <w:pPr w:adjustRightInd="1" w:snapToGrid="0">
        <w:spacing w:before="0" w:after="80" w:line="240" w:lineRule="auto"/>
        <w:jc w:val="both"/>
      </w:pPr>
      <w:r>
        <w:rPr>
          <w:rFonts w:eastAsia="標楷體" w:ascii="Times New Roman" w:hAnsi="Times New Roman"/>
          <w:b w:val="0"/>
          <w:i w:val="0"/>
          <w:sz w:val="28"/>
        </w:rPr>
        <w:t>以下參考資料以「[編號] 標題：連結」格式排列，連結皆為可點擊之真實來源，條目間以分隔線區隔；另標示人工智慧輔助使用情形。</w:t>
      </w:r>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 Ahrefs — Pricing（Starter US$29/月，2026）</w:t>
      </w:r>
      <w:r>
        <w:rPr>
          <w:rFonts w:eastAsia="標楷體" w:ascii="Times New Roman" w:hAnsi="Times New Roman"/>
          <w:b w:val="0"/>
          <w:i w:val="0"/>
          <w:sz w:val="28"/>
        </w:rPr>
        <w:t>：</w:t>
      </w:r>
      <w:hyperlink r:id="rId12">
        <w:r>
          <w:rPr>
            <w:rFonts w:eastAsia="標楷體" w:ascii="Times New Roman" w:hAnsi="Times New Roman"/>
            <w:sz w:val="28"/>
            <w:color w:val="0563C1"/>
            <w:u w:val="single"/>
          </w:rPr>
          <w:t xml:space="preserve">https://ahrefs.com/pricing</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 SEMrush — Pricing for SEO（Pro US$139.95/月，2026）</w:t>
      </w:r>
      <w:r>
        <w:rPr>
          <w:rFonts w:eastAsia="標楷體" w:ascii="Times New Roman" w:hAnsi="Times New Roman"/>
          <w:b w:val="0"/>
          <w:i w:val="0"/>
          <w:sz w:val="28"/>
        </w:rPr>
        <w:t>：</w:t>
      </w:r>
      <w:hyperlink r:id="rId13">
        <w:r>
          <w:rPr>
            <w:rFonts w:eastAsia="標楷體" w:ascii="Times New Roman" w:hAnsi="Times New Roman"/>
            <w:sz w:val="28"/>
            <w:color w:val="0563C1"/>
            <w:u w:val="single"/>
          </w:rPr>
          <w:t xml:space="preserve">https://www.semrush.com/pricing/seo/</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[3] Moz — Moz Pro Pricing（Starter US$49/月，2026）</w:t>
      </w:r>
      <w:r>
        <w:rPr>
          <w:rFonts w:eastAsia="標楷體" w:ascii="Times New Roman" w:hAnsi="Times New Roman"/>
          <w:b w:val="0"/>
          <w:i w:val="0"/>
          <w:sz w:val="28"/>
        </w:rPr>
        <w:t>：</w:t>
      </w:r>
      <w:hyperlink r:id="rId14">
        <w:r>
          <w:rPr>
            <w:rFonts w:eastAsia="標楷體" w:ascii="Times New Roman" w:hAnsi="Times New Roman"/>
            <w:sz w:val="28"/>
            <w:color w:val="0563C1"/>
            <w:u w:val="single"/>
          </w:rPr>
          <w:t xml:space="preserve">https://moz.com/products/pro/pricing</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[4] Sucuri — Website Security Platform Pricing（Basic US$199.99/年，2026）</w:t>
      </w:r>
      <w:r>
        <w:rPr>
          <w:rFonts w:eastAsia="標楷體" w:ascii="Times New Roman" w:hAnsi="Times New Roman"/>
          <w:b w:val="0"/>
          <w:i w:val="0"/>
          <w:sz w:val="28"/>
        </w:rPr>
        <w:t>：</w:t>
      </w:r>
      <w:hyperlink r:id="rId15">
        <w:r>
          <w:rPr>
            <w:rFonts w:eastAsia="標楷體" w:ascii="Times New Roman" w:hAnsi="Times New Roman"/>
            <w:sz w:val="28"/>
            <w:color w:val="0563C1"/>
            <w:u w:val="single"/>
          </w:rPr>
          <w:t xml:space="preserve">https://sucuri.net/website-security-platform/signup/</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[5] Screaming Frog — SEO Spider Pricing（€245/年，2026）</w:t>
      </w:r>
      <w:r>
        <w:rPr>
          <w:rFonts w:eastAsia="標楷體" w:ascii="Times New Roman" w:hAnsi="Times New Roman"/>
          <w:b w:val="0"/>
          <w:i w:val="0"/>
          <w:sz w:val="28"/>
        </w:rPr>
        <w:t>：</w:t>
      </w:r>
      <w:hyperlink r:id="rId16">
        <w:r>
          <w:rPr>
            <w:rFonts w:eastAsia="標楷體" w:ascii="Times New Roman" w:hAnsi="Times New Roman"/>
            <w:sz w:val="28"/>
            <w:color w:val="0563C1"/>
            <w:u w:val="single"/>
          </w:rPr>
          <w:t xml:space="preserve">https://www.screamingfrog.co.uk/seo-spider/pricing/</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[6] Google Search Console — 官方說明（免費）</w:t>
      </w:r>
      <w:r>
        <w:rPr>
          <w:rFonts w:eastAsia="標楷體" w:ascii="Times New Roman" w:hAnsi="Times New Roman"/>
          <w:b w:val="0"/>
          <w:i w:val="0"/>
          <w:sz w:val="28"/>
        </w:rPr>
        <w:t>：</w:t>
      </w:r>
      <w:hyperlink r:id="rId17">
        <w:r>
          <w:rPr>
            <w:rFonts w:eastAsia="標楷體" w:ascii="Times New Roman" w:hAnsi="Times New Roman"/>
            <w:sz w:val="28"/>
            <w:color w:val="0563C1"/>
            <w:u w:val="single"/>
          </w:rPr>
          <w:t xml:space="preserve">https://search.google.com/search-console/about</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[7] 經濟部中小及新創企業署 —《2024 年中小企業白皮書》（中小企業逾 167.4 萬家）</w:t>
      </w:r>
      <w:r>
        <w:rPr>
          <w:rFonts w:eastAsia="標楷體" w:ascii="Times New Roman" w:hAnsi="Times New Roman"/>
          <w:b w:val="0"/>
          <w:i w:val="0"/>
          <w:sz w:val="28"/>
        </w:rPr>
        <w:t>：</w:t>
      </w:r>
      <w:hyperlink r:id="rId18">
        <w:r>
          <w:rPr>
            <w:rFonts w:eastAsia="標楷體" w:ascii="Times New Roman" w:hAnsi="Times New Roman"/>
            <w:sz w:val="28"/>
            <w:color w:val="0563C1"/>
            <w:u w:val="single"/>
          </w:rPr>
          <w:t xml:space="preserve">https://www.sme.gov.tw/article-tw-2853-13097</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[8] 臺灣銀行 — 牌告匯率（外幣換算依據）</w:t>
      </w:r>
      <w:r>
        <w:rPr>
          <w:rFonts w:eastAsia="標楷體" w:ascii="Times New Roman" w:hAnsi="Times New Roman"/>
          <w:b w:val="0"/>
          <w:i w:val="0"/>
          <w:sz w:val="28"/>
        </w:rPr>
        <w:t>：</w:t>
      </w:r>
      <w:hyperlink r:id="rId19">
        <w:r>
          <w:rPr>
            <w:rFonts w:eastAsia="標楷體" w:ascii="Times New Roman" w:hAnsi="Times New Roman"/>
            <w:sz w:val="28"/>
            <w:color w:val="0563C1"/>
            <w:u w:val="single"/>
          </w:rPr>
          <w:t xml:space="preserve">https://rate.bot.com.tw/xrt</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[9] OWASP Foundation — OWASP Top 10:2021</w:t>
      </w:r>
      <w:r>
        <w:rPr>
          <w:rFonts w:eastAsia="標楷體" w:ascii="Times New Roman" w:hAnsi="Times New Roman"/>
          <w:b w:val="0"/>
          <w:i w:val="0"/>
          <w:sz w:val="28"/>
        </w:rPr>
        <w:t>：</w:t>
      </w:r>
      <w:hyperlink r:id="rId20">
        <w:r>
          <w:rPr>
            <w:rFonts w:eastAsia="標楷體" w:ascii="Times New Roman" w:hAnsi="Times New Roman"/>
            <w:sz w:val="28"/>
            <w:color w:val="0563C1"/>
            <w:u w:val="single"/>
          </w:rPr>
          <w:t xml:space="preserve">https://owasp.org/Top10/</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[10] Osterwalder, A., &amp; Pigneur, Y. (2010). Business Model Generation. John Wiley &amp; Sons.（紙本專書）</w:t>
      </w:r>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[11] Django Software Foundation — Django 5.1 documentation</w:t>
      </w:r>
      <w:r>
        <w:rPr>
          <w:rFonts w:eastAsia="標楷體" w:ascii="Times New Roman" w:hAnsi="Times New Roman"/>
          <w:b w:val="0"/>
          <w:i w:val="0"/>
          <w:sz w:val="28"/>
        </w:rPr>
        <w:t>：</w:t>
      </w:r>
      <w:hyperlink r:id="rId21">
        <w:r>
          <w:rPr>
            <w:rFonts w:eastAsia="標楷體" w:ascii="Times New Roman" w:hAnsi="Times New Roman"/>
            <w:sz w:val="28"/>
            <w:color w:val="0563C1"/>
            <w:u w:val="single"/>
          </w:rPr>
          <w:t xml:space="preserve">https://docs.djangoproject.com/en/5.1/</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[12] Django REST Framework — documentation</w:t>
      </w:r>
      <w:r>
        <w:rPr>
          <w:rFonts w:eastAsia="標楷體" w:ascii="Times New Roman" w:hAnsi="Times New Roman"/>
          <w:b w:val="0"/>
          <w:i w:val="0"/>
          <w:sz w:val="28"/>
        </w:rPr>
        <w:t>：</w:t>
      </w:r>
      <w:hyperlink r:id="rId22">
        <w:r>
          <w:rPr>
            <w:rFonts w:eastAsia="標楷體" w:ascii="Times New Roman" w:hAnsi="Times New Roman"/>
            <w:sz w:val="28"/>
            <w:color w:val="0563C1"/>
            <w:u w:val="single"/>
          </w:rPr>
          <w:t xml:space="preserve">https://www.django-rest-framework.org/</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[13] React — 官方文件</w:t>
      </w:r>
      <w:r>
        <w:rPr>
          <w:rFonts w:eastAsia="標楷體" w:ascii="Times New Roman" w:hAnsi="Times New Roman"/>
          <w:b w:val="0"/>
          <w:i w:val="0"/>
          <w:sz w:val="28"/>
        </w:rPr>
        <w:t>：</w:t>
      </w:r>
      <w:hyperlink r:id="rId23">
        <w:r>
          <w:rPr>
            <w:rFonts w:eastAsia="標楷體" w:ascii="Times New Roman" w:hAnsi="Times New Roman"/>
            <w:sz w:val="28"/>
            <w:color w:val="0563C1"/>
            <w:u w:val="single"/>
          </w:rPr>
          <w:t xml:space="preserve">https://react.dev/</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[14] Vite — 官方文件</w:t>
      </w:r>
      <w:r>
        <w:rPr>
          <w:rFonts w:eastAsia="標楷體" w:ascii="Times New Roman" w:hAnsi="Times New Roman"/>
          <w:b w:val="0"/>
          <w:i w:val="0"/>
          <w:sz w:val="28"/>
        </w:rPr>
        <w:t>：</w:t>
      </w:r>
      <w:hyperlink r:id="rId24">
        <w:r>
          <w:rPr>
            <w:rFonts w:eastAsia="標楷體" w:ascii="Times New Roman" w:hAnsi="Times New Roman"/>
            <w:sz w:val="28"/>
            <w:color w:val="0563C1"/>
            <w:u w:val="single"/>
          </w:rPr>
          <w:t xml:space="preserve">https://vitejs.dev/</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[15] Tailwind CSS — 官方文件</w:t>
      </w:r>
      <w:r>
        <w:rPr>
          <w:rFonts w:eastAsia="標楷體" w:ascii="Times New Roman" w:hAnsi="Times New Roman"/>
          <w:b w:val="0"/>
          <w:i w:val="0"/>
          <w:sz w:val="28"/>
        </w:rPr>
        <w:t>：</w:t>
      </w:r>
      <w:hyperlink r:id="rId25">
        <w:r>
          <w:rPr>
            <w:rFonts w:eastAsia="標楷體" w:ascii="Times New Roman" w:hAnsi="Times New Roman"/>
            <w:sz w:val="28"/>
            <w:color w:val="0563C1"/>
            <w:u w:val="single"/>
          </w:rPr>
          <w:t xml:space="preserve">https://tailwindcss.com/</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[16] ReactFlow — 官方文件</w:t>
      </w:r>
      <w:r>
        <w:rPr>
          <w:rFonts w:eastAsia="標楷體" w:ascii="Times New Roman" w:hAnsi="Times New Roman"/>
          <w:b w:val="0"/>
          <w:i w:val="0"/>
          <w:sz w:val="28"/>
        </w:rPr>
        <w:t>：</w:t>
      </w:r>
      <w:hyperlink r:id="rId26">
        <w:r>
          <w:rPr>
            <w:rFonts w:eastAsia="標楷體" w:ascii="Times New Roman" w:hAnsi="Times New Roman"/>
            <w:sz w:val="28"/>
            <w:color w:val="0563C1"/>
            <w:u w:val="single"/>
          </w:rPr>
          <w:t xml:space="preserve">https://reactflow.dev/</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[17] Microsoft — Playwright 官方文件</w:t>
      </w:r>
      <w:r>
        <w:rPr>
          <w:rFonts w:eastAsia="標楷體" w:ascii="Times New Roman" w:hAnsi="Times New Roman"/>
          <w:b w:val="0"/>
          <w:i w:val="0"/>
          <w:sz w:val="28"/>
        </w:rPr>
        <w:t>：</w:t>
      </w:r>
      <w:hyperlink r:id="rId27">
        <w:r>
          <w:rPr>
            <w:rFonts w:eastAsia="標楷體" w:ascii="Times New Roman" w:hAnsi="Times New Roman"/>
            <w:sz w:val="28"/>
            <w:color w:val="0563C1"/>
            <w:u w:val="single"/>
          </w:rPr>
          <w:t xml:space="preserve">https://playwright.dev/</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[18] Celery Project — Celery 5.4 documentation</w:t>
      </w:r>
      <w:r>
        <w:rPr>
          <w:rFonts w:eastAsia="標楷體" w:ascii="Times New Roman" w:hAnsi="Times New Roman"/>
          <w:b w:val="0"/>
          <w:i w:val="0"/>
          <w:sz w:val="28"/>
        </w:rPr>
        <w:t>：</w:t>
      </w:r>
      <w:hyperlink r:id="rId28">
        <w:r>
          <w:rPr>
            <w:rFonts w:eastAsia="標楷體" w:ascii="Times New Roman" w:hAnsi="Times New Roman"/>
            <w:sz w:val="28"/>
            <w:color w:val="0563C1"/>
            <w:u w:val="single"/>
          </w:rPr>
          <w:t xml:space="preserve">https://docs.celeryq.dev/en/stable/</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[19] Redis Ltd. — Redis 7.2 documentation</w:t>
      </w:r>
      <w:r>
        <w:rPr>
          <w:rFonts w:eastAsia="標楷體" w:ascii="Times New Roman" w:hAnsi="Times New Roman"/>
          <w:b w:val="0"/>
          <w:i w:val="0"/>
          <w:sz w:val="28"/>
        </w:rPr>
        <w:t>：</w:t>
      </w:r>
      <w:hyperlink r:id="rId29">
        <w:r>
          <w:rPr>
            <w:rFonts w:eastAsia="標楷體" w:ascii="Times New Roman" w:hAnsi="Times New Roman"/>
            <w:sz w:val="28"/>
            <w:color w:val="0563C1"/>
            <w:u w:val="single"/>
          </w:rPr>
          <w:t xml:space="preserve">https://redis.io/docs/</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[20] PostgreSQL Global Development Group — PostgreSQL 16 documentation</w:t>
      </w:r>
      <w:r>
        <w:rPr>
          <w:rFonts w:eastAsia="標楷體" w:ascii="Times New Roman" w:hAnsi="Times New Roman"/>
          <w:b w:val="0"/>
          <w:i w:val="0"/>
          <w:sz w:val="28"/>
        </w:rPr>
        <w:t>：</w:t>
      </w:r>
      <w:hyperlink r:id="rId30">
        <w:r>
          <w:rPr>
            <w:rFonts w:eastAsia="標楷體" w:ascii="Times New Roman" w:hAnsi="Times New Roman"/>
            <w:sz w:val="28"/>
            <w:color w:val="0563C1"/>
            <w:u w:val="single"/>
          </w:rPr>
          <w:t xml:space="preserve">https://www.postgresql.org/docs/16/</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[21] Docker Inc. — Docker documentation</w:t>
      </w:r>
      <w:r>
        <w:rPr>
          <w:rFonts w:eastAsia="標楷體" w:ascii="Times New Roman" w:hAnsi="Times New Roman"/>
          <w:b w:val="0"/>
          <w:i w:val="0"/>
          <w:sz w:val="28"/>
        </w:rPr>
        <w:t>：</w:t>
      </w:r>
      <w:hyperlink r:id="rId31">
        <w:r>
          <w:rPr>
            <w:rFonts w:eastAsia="標楷體" w:ascii="Times New Roman" w:hAnsi="Times New Roman"/>
            <w:sz w:val="28"/>
            <w:color w:val="0563C1"/>
            <w:u w:val="single"/>
          </w:rPr>
          <w:t xml:space="preserve">https://docs.docker.com/</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[22] F5/NGINX — NGINX documentation</w:t>
      </w:r>
      <w:r>
        <w:rPr>
          <w:rFonts w:eastAsia="標楷體" w:ascii="Times New Roman" w:hAnsi="Times New Roman"/>
          <w:b w:val="0"/>
          <w:i w:val="0"/>
          <w:sz w:val="28"/>
        </w:rPr>
        <w:t>：</w:t>
      </w:r>
      <w:hyperlink r:id="rId32">
        <w:r>
          <w:rPr>
            <w:rFonts w:eastAsia="標楷體" w:ascii="Times New Roman" w:hAnsi="Times New Roman"/>
            <w:sz w:val="28"/>
            <w:color w:val="0563C1"/>
            <w:u w:val="single"/>
          </w:rPr>
          <w:t xml:space="preserve">https://nginx.org/en/docs/</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[23] Astral — uv 官方文件（Python 套件管理）</w:t>
      </w:r>
      <w:r>
        <w:rPr>
          <w:rFonts w:eastAsia="標楷體" w:ascii="Times New Roman" w:hAnsi="Times New Roman"/>
          <w:b w:val="0"/>
          <w:i w:val="0"/>
          <w:sz w:val="28"/>
        </w:rPr>
        <w:t>：</w:t>
      </w:r>
      <w:hyperlink r:id="rId33">
        <w:r>
          <w:rPr>
            <w:rFonts w:eastAsia="標楷體" w:ascii="Times New Roman" w:hAnsi="Times New Roman"/>
            <w:sz w:val="28"/>
            <w:color w:val="0563C1"/>
            <w:u w:val="single"/>
          </w:rPr>
          <w:t xml:space="preserve">https://docs.astral.sh/uv/</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[24] Git — 官方文件</w:t>
      </w:r>
      <w:r>
        <w:rPr>
          <w:rFonts w:eastAsia="標楷體" w:ascii="Times New Roman" w:hAnsi="Times New Roman"/>
          <w:b w:val="0"/>
          <w:i w:val="0"/>
          <w:sz w:val="28"/>
        </w:rPr>
        <w:t>：</w:t>
      </w:r>
      <w:hyperlink r:id="rId34">
        <w:r>
          <w:rPr>
            <w:rFonts w:eastAsia="標楷體" w:ascii="Times New Roman" w:hAnsi="Times New Roman"/>
            <w:sz w:val="28"/>
            <w:color w:val="0563C1"/>
            <w:u w:val="single"/>
          </w:rPr>
          <w:t xml:space="preserve">https://git-scm.com/doc</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[25] python-docx — 官方文件</w:t>
      </w:r>
      <w:r>
        <w:rPr>
          <w:rFonts w:eastAsia="標楷體" w:ascii="Times New Roman" w:hAnsi="Times New Roman"/>
          <w:b w:val="0"/>
          <w:i w:val="0"/>
          <w:sz w:val="28"/>
        </w:rPr>
        <w:t>：</w:t>
      </w:r>
      <w:hyperlink r:id="rId35">
        <w:r>
          <w:rPr>
            <w:rFonts w:eastAsia="標楷體" w:ascii="Times New Roman" w:hAnsi="Times New Roman"/>
            <w:sz w:val="28"/>
            <w:color w:val="0563C1"/>
            <w:u w:val="single"/>
          </w:rPr>
          <w:t xml:space="preserve">https://python-docx.readthedocs.io/</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[26] Matplotlib — 官方文件</w:t>
      </w:r>
      <w:r>
        <w:rPr>
          <w:rFonts w:eastAsia="標楷體" w:ascii="Times New Roman" w:hAnsi="Times New Roman"/>
          <w:b w:val="0"/>
          <w:i w:val="0"/>
          <w:sz w:val="28"/>
        </w:rPr>
        <w:t>：</w:t>
      </w:r>
      <w:hyperlink r:id="rId36">
        <w:r>
          <w:rPr>
            <w:rFonts w:eastAsia="標楷體" w:ascii="Times New Roman" w:hAnsi="Times New Roman"/>
            <w:sz w:val="28"/>
            <w:color w:val="0563C1"/>
            <w:u w:val="single"/>
          </w:rPr>
          <w:t xml:space="preserve">https://matplotlib.org/</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[27] Google — Identity / OAuth 2.0 文件</w:t>
      </w:r>
      <w:r>
        <w:rPr>
          <w:rFonts w:eastAsia="標楷體" w:ascii="Times New Roman" w:hAnsi="Times New Roman"/>
          <w:b w:val="0"/>
          <w:i w:val="0"/>
          <w:sz w:val="28"/>
        </w:rPr>
        <w:t>：</w:t>
      </w:r>
      <w:hyperlink r:id="rId37">
        <w:r>
          <w:rPr>
            <w:rFonts w:eastAsia="標楷體" w:ascii="Times New Roman" w:hAnsi="Times New Roman"/>
            <w:sz w:val="28"/>
            <w:color w:val="0563C1"/>
            <w:u w:val="single"/>
          </w:rPr>
          <w:t xml:space="preserve">https://developers.google.com/identity</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[28] PlantUML — 官方網站</w:t>
      </w:r>
      <w:r>
        <w:rPr>
          <w:rFonts w:eastAsia="標楷體" w:ascii="Times New Roman" w:hAnsi="Times New Roman"/>
          <w:b w:val="0"/>
          <w:i w:val="0"/>
          <w:sz w:val="28"/>
        </w:rPr>
        <w:t>：</w:t>
      </w:r>
      <w:hyperlink r:id="rId38">
        <w:r>
          <w:rPr>
            <w:rFonts w:eastAsia="標楷體" w:ascii="Times New Roman" w:hAnsi="Times New Roman"/>
            <w:sz w:val="28"/>
            <w:color w:val="0563C1"/>
            <w:u w:val="single"/>
          </w:rPr>
          <w:t xml:space="preserve">https://plantuml.com/</w:t>
        </w:r>
      </w:hyperlink>
    </w:p>
    <w:p>
      <w:pPr w:adjustRightInd="1" w:snapToGrid="0">
        <w:spacing w:before="40" w:after="80" w:line="240" w:lineRule="auto"/>
        <w:ind w:left="680" w:hanging="680"/>
        <w:jc w:val="left"/>
        <w:pBdr>
          <w:bottom w:val="single" w:sz="6" w:space="4" w:color="D0D0D0"/>
        </w:pBdr>
      </w:pPr>
      <w:r>
        <w:rPr>
          <w:rFonts w:eastAsia="標楷體" w:ascii="Times New Roman" w:hAnsi="Times New Roman"/>
          <w:b w:val="0"/>
          <w:i w:val="0"/>
          <w:sz w:val="28"/>
        </w:rPr>
        <w:t>[29] OMG — Unified Modeling Language (UML) 2.5.1 規格</w:t>
      </w:r>
      <w:r>
        <w:rPr>
          <w:rFonts w:eastAsia="標楷體" w:ascii="Times New Roman" w:hAnsi="Times New Roman"/>
          <w:b w:val="0"/>
          <w:i w:val="0"/>
          <w:sz w:val="28"/>
        </w:rPr>
        <w:t>：</w:t>
      </w:r>
      <w:hyperlink r:id="rId39">
        <w:r>
          <w:rPr>
            <w:rFonts w:eastAsia="標楷體" w:ascii="Times New Roman" w:hAnsi="Times New Roman"/>
            <w:sz w:val="28"/>
            <w:color w:val="0563C1"/>
            <w:u w:val="single"/>
          </w:rPr>
          <w:t xml:space="preserve">https://www.omg.org/spec/UML/</w:t>
        </w:r>
      </w:hyperlink>
    </w:p>
    <w:p/>
    <w:p>
      <w:pPr w:adjustRightInd="1" w:snapToGrid="0">
        <w:spacing w:before="0" w:after="80" w:line="240" w:lineRule="auto"/>
        <w:jc w:val="both"/>
      </w:pPr>
      <w:r>
        <w:rPr>
          <w:rFonts w:eastAsia="標楷體" w:ascii="Times New Roman" w:hAnsi="Times New Roman"/>
          <w:b/>
          <w:i w:val="0"/>
          <w:sz w:val="28"/>
        </w:rPr>
        <w:t>※ 使用人工智慧輔助說明：</w:t>
      </w:r>
    </w:p>
    <w:p>
      <w:pPr w:adjustRightInd="1" w:snapToGrid="0">
        <w:pStyle w:val="Caption"/>
        <w:spacing w:before="240" w:after="80" w:line="240" w:lineRule="auto"/>
        <w:jc w:val="center"/>
      </w:pPr>
      <w:r>
        <w:rPr>
          <w:rFonts w:eastAsia="標楷體" w:ascii="Times New Roman" w:hAnsi="Times New Roman"/>
          <w:b w:val="0"/>
          <w:i w:val="0"/>
          <w:sz w:val="28"/>
        </w:rPr>
        <w:t>表 0-</w:t>
      </w:r>
      <w:r>
        <w:rPr>
          <w:rFonts w:eastAsia="標楷體" w:ascii="Times New Roman" w:hAnsi="Times New Roman"/>
          <w:b w:val="0"/>
          <w:i w:val="0"/>
          <w:sz w:val="28"/>
        </w:rPr>
        <w:fldChar w:fldCharType="begin"/>
        <w:instrText xml:space="preserve"> SEQ 表 \s 1 \* ARABIC </w:instrText>
        <w:fldChar w:fldCharType="end"/>
      </w:r>
      <w:r>
        <w:rPr>
          <w:rFonts w:eastAsia="標楷體" w:ascii="Times New Roman" w:hAnsi="Times New Roman"/>
          <w:b w:val="0"/>
          <w:i w:val="0"/>
          <w:sz w:val="28"/>
        </w:rPr>
        <w:t xml:space="preserve">　人工智慧使用說明表</w:t>
      </w:r>
    </w:p>
    <w:tbl>
      <w:tblPr>
        <w:tblStyle w:val="TableGrid"/>
        <w:tblW w:type="auto" w:w="0"/>
        <w:jc w:val="center"/>
        <w:tblLook w:firstColumn="1" w:firstRow="1" w:lastColumn="0" w:lastRow="0" w:noHBand="0" w:noVBand="1" w:val="04A0"/>
      </w:tblPr>
      <w:tblGrid>
        <w:gridCol w:w="2635"/>
        <w:gridCol w:w="2635"/>
        <w:gridCol w:w="2635"/>
        <w:gridCol w:w="2635"/>
      </w:tblGrid>
      <w:tr>
        <w:trPr>
          <w:cantSplit/>
          <w:tblHeader w:val="true"/>
        </w:trPr>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序號</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使用工具名稱</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使用範圍及說明</w:t>
            </w:r>
          </w:p>
        </w:tc>
        <w:tc>
          <w:tcPr>
            <w:tcW w:type="dxa" w:w="2635"/>
            <w:vAlign w:val="center"/>
            <w:shd w:val="clear" w:color="auto" w:fill="E4DFEC"/>
          </w:tcPr>
          <w:p>
            <w:pPr w:adjustRightInd="1" w:snapToGrid="0">
              <w:spacing w:before="40" w:after="40" w:line="240" w:lineRule="auto"/>
              <w:jc w:val="center"/>
            </w:pPr>
            <w:r>
              <w:rPr>
                <w:rFonts w:eastAsia="標楷體" w:ascii="Times New Roman" w:hAnsi="Times New Roman"/>
                <w:b/>
                <w:i w:val="0"/>
                <w:color w:val="000000"/>
                <w:sz w:val="24"/>
              </w:rPr>
              <w:t>頁碼</w:t>
            </w:r>
          </w:p>
        </w:tc>
      </w:tr>
      <w:tr>
        <w:trPr>
          <w:cantSplit/>
        </w:trPr>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1</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Claude（Anthropic）</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輔助系統手冊初稿內容撰寫、排版格式與圖表程式整理</w:t>
            </w:r>
          </w:p>
        </w:tc>
        <w:tc>
          <w:tcPr>
            <w:tcW w:type="dxa" w:w="2635"/>
            <w:vAlign w:val="center"/>
            <w:shd w:val="clear" w:color="auto" w:fill="F2F2F2"/>
          </w:tcPr>
          <w:p>
            <w:pPr w:adjustRightInd="1" w:snapToGrid="0">
              <w:spacing w:before="40" w:after="40" w:line="240" w:lineRule="auto"/>
              <w:jc w:val="left"/>
            </w:pPr>
            <w:r>
              <w:rPr>
                <w:rFonts w:eastAsia="標楷體" w:ascii="Times New Roman" w:hAnsi="Times New Roman"/>
                <w:b w:val="0"/>
                <w:i w:val="0"/>
                <w:sz w:val="24"/>
              </w:rPr>
              <w:t>全文</w:t>
            </w:r>
          </w:p>
        </w:tc>
      </w:tr>
      <w:tr>
        <w:trPr>
          <w:cantSplit/>
        </w:trPr>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2</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Google Gemini</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Hermes-Agent Phase 2 工具調用邏輯設計參考</w:t>
            </w:r>
          </w:p>
        </w:tc>
        <w:tc>
          <w:tcPr>
            <w:tcW w:type="dxa" w:w="2635"/>
            <w:vAlign w:val="center"/>
            <w:shd w:val="clear" w:color="auto" w:fill="FFFFFF"/>
          </w:tcPr>
          <w:p>
            <w:pPr w:adjustRightInd="1" w:snapToGrid="0">
              <w:spacing w:before="40" w:after="40" w:line="240" w:lineRule="auto"/>
              <w:jc w:val="left"/>
            </w:pPr>
            <w:r>
              <w:rPr>
                <w:rFonts w:eastAsia="標楷體" w:ascii="Times New Roman" w:hAnsi="Times New Roman"/>
                <w:b w:val="0"/>
                <w:i w:val="0"/>
                <w:sz w:val="24"/>
              </w:rPr>
              <w:t>第7章</w:t>
            </w:r>
          </w:p>
        </w:tc>
      </w:tr>
    </w:tbl>
    <w:p/>
    <w:sectPr w:rsidR="00FC693F" w:rsidRPr="0006063C" w:rsidSect="00034616">
      <w:footerReference w:type="default" r:id="rId9"/>
      <w:pgSz w:w="12240" w:h="15840"/>
      <w:pgMar w:top="850" w:right="850" w:bottom="850" w:left="85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標楷體" w:ascii="Times New Roman" w:hAnsi="Times New Roman"/>
        <w:b w:val="0"/>
        <w:i w:val="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hrefs.com/pricing" TargetMode="External"/><Relationship Id="rId13" Type="http://schemas.openxmlformats.org/officeDocument/2006/relationships/hyperlink" Target="https://www.semrush.com/pricing/seo/" TargetMode="External"/><Relationship Id="rId14" Type="http://schemas.openxmlformats.org/officeDocument/2006/relationships/hyperlink" Target="https://moz.com/products/pro/pricing" TargetMode="External"/><Relationship Id="rId15" Type="http://schemas.openxmlformats.org/officeDocument/2006/relationships/hyperlink" Target="https://sucuri.net/website-security-platform/signup/" TargetMode="External"/><Relationship Id="rId16" Type="http://schemas.openxmlformats.org/officeDocument/2006/relationships/hyperlink" Target="https://www.screamingfrog.co.uk/seo-spider/pricing/" TargetMode="External"/><Relationship Id="rId17" Type="http://schemas.openxmlformats.org/officeDocument/2006/relationships/hyperlink" Target="https://search.google.com/search-console/about" TargetMode="External"/><Relationship Id="rId18" Type="http://schemas.openxmlformats.org/officeDocument/2006/relationships/hyperlink" Target="https://www.sme.gov.tw/article-tw-2853-13097" TargetMode="External"/><Relationship Id="rId19" Type="http://schemas.openxmlformats.org/officeDocument/2006/relationships/hyperlink" Target="https://rate.bot.com.tw/xrt" TargetMode="External"/><Relationship Id="rId20" Type="http://schemas.openxmlformats.org/officeDocument/2006/relationships/hyperlink" Target="https://owasp.org/Top10/" TargetMode="External"/><Relationship Id="rId21" Type="http://schemas.openxmlformats.org/officeDocument/2006/relationships/hyperlink" Target="https://docs.djangoproject.com/en/5.1/" TargetMode="External"/><Relationship Id="rId22" Type="http://schemas.openxmlformats.org/officeDocument/2006/relationships/hyperlink" Target="https://www.django-rest-framework.org/" TargetMode="External"/><Relationship Id="rId23" Type="http://schemas.openxmlformats.org/officeDocument/2006/relationships/hyperlink" Target="https://react.dev/" TargetMode="External"/><Relationship Id="rId24" Type="http://schemas.openxmlformats.org/officeDocument/2006/relationships/hyperlink" Target="https://vitejs.dev/" TargetMode="External"/><Relationship Id="rId25" Type="http://schemas.openxmlformats.org/officeDocument/2006/relationships/hyperlink" Target="https://tailwindcss.com/" TargetMode="External"/><Relationship Id="rId26" Type="http://schemas.openxmlformats.org/officeDocument/2006/relationships/hyperlink" Target="https://reactflow.dev/" TargetMode="External"/><Relationship Id="rId27" Type="http://schemas.openxmlformats.org/officeDocument/2006/relationships/hyperlink" Target="https://playwright.dev/" TargetMode="External"/><Relationship Id="rId28" Type="http://schemas.openxmlformats.org/officeDocument/2006/relationships/hyperlink" Target="https://docs.celeryq.dev/en/stable/" TargetMode="External"/><Relationship Id="rId29" Type="http://schemas.openxmlformats.org/officeDocument/2006/relationships/hyperlink" Target="https://redis.io/docs/" TargetMode="External"/><Relationship Id="rId30" Type="http://schemas.openxmlformats.org/officeDocument/2006/relationships/hyperlink" Target="https://www.postgresql.org/docs/16/" TargetMode="External"/><Relationship Id="rId31" Type="http://schemas.openxmlformats.org/officeDocument/2006/relationships/hyperlink" Target="https://docs.docker.com/" TargetMode="External"/><Relationship Id="rId32" Type="http://schemas.openxmlformats.org/officeDocument/2006/relationships/hyperlink" Target="https://nginx.org/en/docs/" TargetMode="External"/><Relationship Id="rId33" Type="http://schemas.openxmlformats.org/officeDocument/2006/relationships/hyperlink" Target="https://docs.astral.sh/uv/" TargetMode="External"/><Relationship Id="rId34" Type="http://schemas.openxmlformats.org/officeDocument/2006/relationships/hyperlink" Target="https://git-scm.com/doc" TargetMode="External"/><Relationship Id="rId35" Type="http://schemas.openxmlformats.org/officeDocument/2006/relationships/hyperlink" Target="https://python-docx.readthedocs.io/" TargetMode="External"/><Relationship Id="rId36" Type="http://schemas.openxmlformats.org/officeDocument/2006/relationships/hyperlink" Target="https://matplotlib.org/" TargetMode="External"/><Relationship Id="rId37" Type="http://schemas.openxmlformats.org/officeDocument/2006/relationships/hyperlink" Target="https://developers.google.com/identity" TargetMode="External"/><Relationship Id="rId38" Type="http://schemas.openxmlformats.org/officeDocument/2006/relationships/hyperlink" Target="https://plantuml.com/" TargetMode="External"/><Relationship Id="rId39" Type="http://schemas.openxmlformats.org/officeDocument/2006/relationships/hyperlink" Target="https://www.omg.org/spec/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