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4FCF">
      <w:pPr>
        <w:pStyle w:val="31"/>
      </w:pPr>
      <w:r>
        <w:t>东软公众环保监督系统软件需求规格说明书</w:t>
      </w:r>
    </w:p>
    <w:p w14:paraId="1014A226"/>
    <w:p w14:paraId="41883CC1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引言</w:t>
      </w:r>
    </w:p>
    <w:p w14:paraId="1A66658B"/>
    <w:p w14:paraId="321823DC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目的</w:t>
      </w:r>
    </w:p>
    <w:p w14:paraId="03C0152F"/>
    <w:p w14:paraId="2805CA8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本文档阐述“东软公众环保监督系统”的软件需求，明确项目建设范围、功能模块及业务流程，作为系统设计、开发、测试和验收的重要依据，为后续概要设计和详细设计提供指导。</w:t>
      </w:r>
    </w:p>
    <w:p w14:paraId="7AF92431"/>
    <w:p w14:paraId="0F5DFCDF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背景</w:t>
      </w:r>
    </w:p>
    <w:p w14:paraId="1622CC7A"/>
    <w:p w14:paraId="6D74E55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随着我国生态文明建设持续推进，空气质量治理已经成为环境保护的重要工作内容。</w:t>
      </w:r>
    </w:p>
    <w:p w14:paraId="2FE25168"/>
    <w:p w14:paraId="2504C6A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传统环保监管主要依赖环保部门和监测机构进行数据采集与巡查，存在监管覆盖范围有限、发现问题不及时等问题。</w:t>
      </w:r>
    </w:p>
    <w:p w14:paraId="22AB07EC"/>
    <w:p w14:paraId="468B584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为了充分发挥公众监督作用，提高空气质量监管效率，构建“公众参与、网格监管、统一调度、数据决策”的智慧环保体系，建设东软公众环保监督系统。</w:t>
      </w:r>
    </w:p>
    <w:p w14:paraId="1E229EBD"/>
    <w:p w14:paraId="0003B4F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系统采用四端协同架构：</w:t>
      </w:r>
    </w:p>
    <w:p w14:paraId="7D152334"/>
    <w:p w14:paraId="6FA4926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NEPS公众监督员端</w:t>
      </w:r>
    </w:p>
    <w:p w14:paraId="0ABB7E4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NEPG网格员端</w:t>
      </w:r>
    </w:p>
    <w:p w14:paraId="018FF69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NEPM系统管理员端</w:t>
      </w:r>
    </w:p>
    <w:p w14:paraId="5F4DA6E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NEPV决策者端</w:t>
      </w:r>
    </w:p>
    <w:p w14:paraId="208019DA"/>
    <w:p w14:paraId="73350A8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实现空气质量问题上报、网格核查、事件处理、数据分析和决策支持的完整闭环监管体系。</w:t>
      </w:r>
    </w:p>
    <w:p w14:paraId="1D41C030"/>
    <w:p w14:paraId="56FFF9AB">
      <w:pPr>
        <w:pStyle w:val="4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参考资料</w:t>
      </w:r>
    </w:p>
    <w:p w14:paraId="44B76CA9"/>
    <w:p w14:paraId="35AAD70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《中华人民共和国环境保护法》</w:t>
      </w:r>
    </w:p>
    <w:p w14:paraId="19A81D6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《中华人民共和国大气污染防治法》</w:t>
      </w:r>
    </w:p>
    <w:p w14:paraId="522A603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国家空气质量指数（AQI）标准</w:t>
      </w:r>
    </w:p>
    <w:p w14:paraId="67F6720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东软环保公众监督系统项目分析与数据库设计课件</w:t>
      </w:r>
    </w:p>
    <w:p w14:paraId="57582EC8"/>
    <w:p w14:paraId="51A65ED5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任务概述</w:t>
      </w:r>
    </w:p>
    <w:p w14:paraId="547A02CD"/>
    <w:p w14:paraId="4DC643CA">
      <w:pPr>
        <w:pStyle w:val="4"/>
      </w:pPr>
      <w:r>
        <w:t>2.1 目标</w:t>
      </w:r>
    </w:p>
    <w:p w14:paraId="2E0FC685"/>
    <w:p w14:paraId="4A30FDA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建设一个面向公众监督、环保监管及领导决策的环保监管平台，实现：</w:t>
      </w:r>
    </w:p>
    <w:p w14:paraId="736E836C"/>
    <w:p w14:paraId="45D589F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公众空气质量问题反馈</w:t>
      </w:r>
    </w:p>
    <w:p w14:paraId="233E82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网格员现场核查</w:t>
      </w:r>
    </w:p>
    <w:p w14:paraId="4E94291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管理员事件调度</w:t>
      </w:r>
    </w:p>
    <w:p w14:paraId="0F19D9D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数据统计分析</w:t>
      </w:r>
    </w:p>
    <w:p w14:paraId="0E6AD01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环保决策支持</w:t>
      </w:r>
    </w:p>
    <w:p w14:paraId="0C9FD27F"/>
    <w:p w14:paraId="092D755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形成空气污染事件发现、核查、处理、统计、决策的完整闭环。</w:t>
      </w:r>
    </w:p>
    <w:p w14:paraId="3D5F1442"/>
    <w:p w14:paraId="479B0F1E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需求规定</w:t>
      </w:r>
    </w:p>
    <w:p w14:paraId="66174EE2"/>
    <w:p w14:paraId="3B650858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非功能性需求</w:t>
      </w:r>
    </w:p>
    <w:p w14:paraId="28594AB6"/>
    <w:p w14:paraId="0D62082A">
      <w:pPr>
        <w:pStyle w:val="5"/>
      </w:pPr>
      <w:r>
        <w:t>一般性需求</w:t>
      </w:r>
    </w:p>
    <w:p w14:paraId="7294F888"/>
    <w:p w14:paraId="6379D53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支持集中式数据管理</w:t>
      </w:r>
    </w:p>
    <w:p w14:paraId="7B25703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支持分布式部署</w:t>
      </w:r>
    </w:p>
    <w:p w14:paraId="16E7ABB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支持移动端与PC端访问</w:t>
      </w:r>
    </w:p>
    <w:p w14:paraId="4392CDB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操作简单易用</w:t>
      </w:r>
    </w:p>
    <w:p w14:paraId="793F694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模块可扩展</w:t>
      </w:r>
    </w:p>
    <w:p w14:paraId="35AF86C3"/>
    <w:p w14:paraId="4630E584">
      <w:pPr>
        <w:pStyle w:val="5"/>
      </w:pPr>
      <w:r>
        <w:t>安全需求</w:t>
      </w:r>
    </w:p>
    <w:p w14:paraId="66F467E2"/>
    <w:p w14:paraId="5CCD3FB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用户登录认证</w:t>
      </w:r>
    </w:p>
    <w:p w14:paraId="442C9F0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JWT身份验证</w:t>
      </w:r>
    </w:p>
    <w:p w14:paraId="41149D5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图片验证码</w:t>
      </w:r>
    </w:p>
    <w:p w14:paraId="7AEB71B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权限控制</w:t>
      </w:r>
    </w:p>
    <w:p w14:paraId="499BA6B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数据加密传输</w:t>
      </w:r>
    </w:p>
    <w:p w14:paraId="79819C1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日志审计</w:t>
      </w:r>
    </w:p>
    <w:p w14:paraId="7B276595"/>
    <w:p w14:paraId="490A1C6B">
      <w:pPr>
        <w:pStyle w:val="5"/>
      </w:pPr>
      <w:r>
        <w:t>性能需求</w:t>
      </w:r>
    </w:p>
    <w:p w14:paraId="1C63B79C"/>
    <w:p w14:paraId="20B552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支持1000+用户同时在线</w:t>
      </w:r>
    </w:p>
    <w:p w14:paraId="784ED52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页面响应时间≤3秒</w:t>
      </w:r>
    </w:p>
    <w:p w14:paraId="2921A09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查询响应时间≤5秒</w:t>
      </w:r>
    </w:p>
    <w:p w14:paraId="33DC2940">
      <w:pPr>
        <w:pStyle w:val="5"/>
      </w:pPr>
      <w:r>
        <w:t>可维护性需求</w:t>
      </w:r>
    </w:p>
    <w:p w14:paraId="4CC93DDB"/>
    <w:p w14:paraId="694F767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前后端分离架构</w:t>
      </w:r>
    </w:p>
    <w:p w14:paraId="3E99F95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RESTful API设计</w:t>
      </w:r>
    </w:p>
    <w:p w14:paraId="2F9826C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模块化开发</w:t>
      </w:r>
    </w:p>
    <w:p w14:paraId="3FE4FCFA"/>
    <w:p w14:paraId="586AFD92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功能性需求</w:t>
      </w:r>
    </w:p>
    <w:p w14:paraId="339AD504"/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C46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07E2ED7">
            <w:pPr>
              <w:spacing w:after="0" w:line="240" w:lineRule="auto"/>
            </w:pPr>
            <w:r>
              <w:t>核心平台</w:t>
            </w:r>
          </w:p>
        </w:tc>
        <w:tc>
          <w:tcPr>
            <w:tcW w:w="1666" w:type="pct"/>
          </w:tcPr>
          <w:p w14:paraId="3D2B04B2">
            <w:pPr>
              <w:spacing w:after="0" w:line="240" w:lineRule="auto"/>
            </w:pPr>
            <w:r>
              <w:t>功能名称</w:t>
            </w:r>
          </w:p>
        </w:tc>
        <w:tc>
          <w:tcPr>
            <w:tcW w:w="1666" w:type="pct"/>
          </w:tcPr>
          <w:p w14:paraId="7839D462">
            <w:pPr>
              <w:spacing w:after="0" w:line="240" w:lineRule="auto"/>
            </w:pPr>
            <w:r>
              <w:t>功能说明</w:t>
            </w:r>
          </w:p>
        </w:tc>
      </w:tr>
      <w:tr w14:paraId="57B1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8DA614F">
            <w:pPr>
              <w:spacing w:after="0" w:line="240" w:lineRule="auto"/>
            </w:pPr>
            <w:r>
              <w:t>NEPS公众监督员端</w:t>
            </w:r>
          </w:p>
        </w:tc>
        <w:tc>
          <w:tcPr>
            <w:tcW w:w="1666" w:type="pct"/>
          </w:tcPr>
          <w:p w14:paraId="50ADAAF7">
            <w:pPr>
              <w:spacing w:after="0" w:line="240" w:lineRule="auto"/>
            </w:pPr>
            <w:r>
              <w:t>AQI问题反馈</w:t>
            </w:r>
          </w:p>
        </w:tc>
        <w:tc>
          <w:tcPr>
            <w:tcW w:w="1666" w:type="pct"/>
          </w:tcPr>
          <w:p w14:paraId="5BD5A3A5">
            <w:pPr>
              <w:spacing w:after="0" w:line="240" w:lineRule="auto"/>
            </w:pPr>
            <w:r>
              <w:t>提交空气质量问题</w:t>
            </w:r>
          </w:p>
        </w:tc>
      </w:tr>
      <w:tr w14:paraId="6D18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ACB8BFE">
            <w:pPr>
              <w:spacing w:after="0" w:line="240" w:lineRule="auto"/>
            </w:pPr>
            <w:r>
              <w:t>NEPS公众监督员端</w:t>
            </w:r>
          </w:p>
        </w:tc>
        <w:tc>
          <w:tcPr>
            <w:tcW w:w="1666" w:type="pct"/>
          </w:tcPr>
          <w:p w14:paraId="2FB69C0F">
            <w:pPr>
              <w:spacing w:after="0" w:line="240" w:lineRule="auto"/>
            </w:pPr>
            <w:r>
              <w:t>历史反馈查询</w:t>
            </w:r>
          </w:p>
        </w:tc>
        <w:tc>
          <w:tcPr>
            <w:tcW w:w="1666" w:type="pct"/>
          </w:tcPr>
          <w:p w14:paraId="40F4E53D">
            <w:pPr>
              <w:spacing w:after="0" w:line="240" w:lineRule="auto"/>
            </w:pPr>
            <w:r>
              <w:t>查询个人反馈记录</w:t>
            </w:r>
          </w:p>
        </w:tc>
      </w:tr>
      <w:tr w14:paraId="0AF2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A25D094">
            <w:pPr>
              <w:spacing w:after="0" w:line="240" w:lineRule="auto"/>
            </w:pPr>
            <w:r>
              <w:t>NEPG网格员端</w:t>
            </w:r>
          </w:p>
        </w:tc>
        <w:tc>
          <w:tcPr>
            <w:tcW w:w="1666" w:type="pct"/>
          </w:tcPr>
          <w:p w14:paraId="4E485636">
            <w:pPr>
              <w:spacing w:after="0" w:line="240" w:lineRule="auto"/>
            </w:pPr>
            <w:r>
              <w:t>AQI检测确认</w:t>
            </w:r>
          </w:p>
        </w:tc>
        <w:tc>
          <w:tcPr>
            <w:tcW w:w="1666" w:type="pct"/>
          </w:tcPr>
          <w:p w14:paraId="3A1A3E75">
            <w:pPr>
              <w:spacing w:after="0" w:line="240" w:lineRule="auto"/>
            </w:pPr>
            <w:r>
              <w:t>对反馈问题进行检测</w:t>
            </w:r>
          </w:p>
        </w:tc>
      </w:tr>
      <w:tr w14:paraId="7D01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D47224">
            <w:pPr>
              <w:spacing w:after="0" w:line="240" w:lineRule="auto"/>
            </w:pPr>
            <w:r>
              <w:t>NEPG网格员端</w:t>
            </w:r>
          </w:p>
        </w:tc>
        <w:tc>
          <w:tcPr>
            <w:tcW w:w="1666" w:type="pct"/>
          </w:tcPr>
          <w:p w14:paraId="2A5DE65F">
            <w:pPr>
              <w:spacing w:after="0" w:line="240" w:lineRule="auto"/>
            </w:pPr>
            <w:r>
              <w:t>数据上报</w:t>
            </w:r>
          </w:p>
        </w:tc>
        <w:tc>
          <w:tcPr>
            <w:tcW w:w="1666" w:type="pct"/>
          </w:tcPr>
          <w:p w14:paraId="4A0A0693">
            <w:pPr>
              <w:spacing w:after="0" w:line="240" w:lineRule="auto"/>
            </w:pPr>
            <w:r>
              <w:t>提交检测结果</w:t>
            </w:r>
          </w:p>
        </w:tc>
      </w:tr>
      <w:tr w14:paraId="60DE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6B5503">
            <w:pPr>
              <w:spacing w:after="0" w:line="240" w:lineRule="auto"/>
            </w:pPr>
            <w:r>
              <w:t>NEPM管理员端</w:t>
            </w:r>
          </w:p>
        </w:tc>
        <w:tc>
          <w:tcPr>
            <w:tcW w:w="1666" w:type="pct"/>
          </w:tcPr>
          <w:p w14:paraId="69A3C2DC">
            <w:pPr>
              <w:spacing w:after="0" w:line="240" w:lineRule="auto"/>
            </w:pPr>
            <w:r>
              <w:t>问题分派</w:t>
            </w:r>
          </w:p>
        </w:tc>
        <w:tc>
          <w:tcPr>
            <w:tcW w:w="1666" w:type="pct"/>
          </w:tcPr>
          <w:p w14:paraId="5E3E1E6C">
            <w:pPr>
              <w:spacing w:after="0" w:line="240" w:lineRule="auto"/>
            </w:pPr>
            <w:r>
              <w:t>指派网格员处理</w:t>
            </w:r>
          </w:p>
        </w:tc>
      </w:tr>
      <w:tr w14:paraId="2298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F97F343">
            <w:pPr>
              <w:spacing w:after="0" w:line="240" w:lineRule="auto"/>
            </w:pPr>
            <w:r>
              <w:t>NEPM管理员端</w:t>
            </w:r>
          </w:p>
        </w:tc>
        <w:tc>
          <w:tcPr>
            <w:tcW w:w="1666" w:type="pct"/>
          </w:tcPr>
          <w:p w14:paraId="79F953A8">
            <w:pPr>
              <w:spacing w:after="0" w:line="240" w:lineRule="auto"/>
            </w:pPr>
            <w:r>
              <w:t>数据统计</w:t>
            </w:r>
          </w:p>
        </w:tc>
        <w:tc>
          <w:tcPr>
            <w:tcW w:w="1666" w:type="pct"/>
          </w:tcPr>
          <w:p w14:paraId="12E8D94E">
            <w:pPr>
              <w:spacing w:after="0" w:line="240" w:lineRule="auto"/>
            </w:pPr>
            <w:r>
              <w:t>AQI统计分析</w:t>
            </w:r>
          </w:p>
        </w:tc>
      </w:tr>
      <w:tr w14:paraId="7692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A288075">
            <w:pPr>
              <w:spacing w:after="0" w:line="240" w:lineRule="auto"/>
            </w:pPr>
            <w:r>
              <w:t>NEPM管理员端</w:t>
            </w:r>
          </w:p>
        </w:tc>
        <w:tc>
          <w:tcPr>
            <w:tcW w:w="1666" w:type="pct"/>
          </w:tcPr>
          <w:p w14:paraId="12E67FB1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666" w:type="pct"/>
          </w:tcPr>
          <w:p w14:paraId="21D5B43D">
            <w:pPr>
              <w:spacing w:after="0" w:line="240" w:lineRule="auto"/>
            </w:pPr>
            <w:r>
              <w:t>管理监督员和网格员</w:t>
            </w:r>
          </w:p>
        </w:tc>
      </w:tr>
      <w:tr w14:paraId="3C18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C6688C2">
            <w:pPr>
              <w:spacing w:after="0" w:line="240" w:lineRule="auto"/>
            </w:pPr>
            <w:r>
              <w:t>NEPV决策者端</w:t>
            </w:r>
          </w:p>
        </w:tc>
        <w:tc>
          <w:tcPr>
            <w:tcW w:w="1666" w:type="pct"/>
          </w:tcPr>
          <w:p w14:paraId="2DCB273F">
            <w:pPr>
              <w:spacing w:after="0" w:line="240" w:lineRule="auto"/>
            </w:pPr>
            <w:r>
              <w:t>数据大屏</w:t>
            </w:r>
          </w:p>
        </w:tc>
        <w:tc>
          <w:tcPr>
            <w:tcW w:w="1666" w:type="pct"/>
          </w:tcPr>
          <w:p w14:paraId="0DF654E9">
            <w:pPr>
              <w:spacing w:after="0" w:line="240" w:lineRule="auto"/>
            </w:pPr>
            <w:r>
              <w:t>可视化展示</w:t>
            </w:r>
          </w:p>
        </w:tc>
      </w:tr>
      <w:tr w14:paraId="6282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7DDC3A7">
            <w:pPr>
              <w:spacing w:after="0" w:line="240" w:lineRule="auto"/>
            </w:pPr>
            <w:r>
              <w:t>NEPV决策者端</w:t>
            </w:r>
          </w:p>
        </w:tc>
        <w:tc>
          <w:tcPr>
            <w:tcW w:w="1666" w:type="pct"/>
          </w:tcPr>
          <w:p w14:paraId="56B394AE">
            <w:pPr>
              <w:spacing w:after="0" w:line="240" w:lineRule="auto"/>
            </w:pPr>
            <w:r>
              <w:t>趋势分析</w:t>
            </w:r>
          </w:p>
        </w:tc>
        <w:tc>
          <w:tcPr>
            <w:tcW w:w="1666" w:type="pct"/>
          </w:tcPr>
          <w:p w14:paraId="46B6E21C">
            <w:pPr>
              <w:spacing w:after="0" w:line="240" w:lineRule="auto"/>
            </w:pPr>
            <w:r>
              <w:t>辅助决策</w:t>
            </w:r>
          </w:p>
        </w:tc>
      </w:tr>
    </w:tbl>
    <w:p w14:paraId="7EDC234D"/>
    <w:p w14:paraId="5A224412">
      <w:pPr>
        <w:pStyle w:val="5"/>
      </w:pPr>
      <w:r>
        <w:t>3.2.1 角色说明</w:t>
      </w:r>
    </w:p>
    <w:p w14:paraId="49CBD1A6"/>
    <w:p w14:paraId="35222EF5">
      <w:pPr>
        <w:spacing w:after="75" w:afterAutospacing="0"/>
        <w:jc w:val="center"/>
        <w:rPr>
          <w:rFonts w:hint="eastAsia" w:ascii="宋体" w:hAnsi="宋体" w:eastAsia="宋体" w:cs="宋体"/>
          <w:b/>
          <w:bCs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sz w:val="12"/>
          <w:szCs w:val="12"/>
        </w:rPr>
        <w:t>不同角色职责及权限表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1"/>
        <w:gridCol w:w="2982"/>
        <w:gridCol w:w="4687"/>
      </w:tblGrid>
      <w:tr w14:paraId="1B142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FB6D0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AB9D9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职责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205BF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权限</w:t>
            </w:r>
          </w:p>
        </w:tc>
      </w:tr>
      <w:tr w14:paraId="6CBF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737CF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公众监督员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EC49D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发现空气质量问题并提交反馈信息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684CE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登录系统、提交反馈、查询反馈记录</w:t>
            </w:r>
          </w:p>
        </w:tc>
      </w:tr>
      <w:tr w14:paraId="5938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FD937F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网格员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2AC80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现场AQI检测与核查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E30D8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接收任务、现场检测、上报AQI数据、填写处理结果</w:t>
            </w:r>
          </w:p>
        </w:tc>
      </w:tr>
      <w:tr w14:paraId="7E36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0A827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系统管理员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35278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事件调度和系统维护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02D1B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用户管理、网格员管理、事件指派、数据统计</w:t>
            </w:r>
          </w:p>
        </w:tc>
      </w:tr>
      <w:tr w14:paraId="6DFE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7B67B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决策者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46C4F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查看统计分析结果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1742B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查看数据大屏、查看AQI统计结果、查看区域趋势分析</w:t>
            </w:r>
          </w:p>
        </w:tc>
      </w:tr>
    </w:tbl>
    <w:p w14:paraId="0B60688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465E57FB"/>
    <w:p w14:paraId="0B2A378E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系统环境</w:t>
      </w:r>
    </w:p>
    <w:p w14:paraId="74EE0FA7"/>
    <w:p w14:paraId="36D122FB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开发环境</w:t>
      </w:r>
    </w:p>
    <w:p w14:paraId="3F859A5B"/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90E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C658F91">
            <w:pPr>
              <w:spacing w:after="0" w:line="240" w:lineRule="auto"/>
            </w:pPr>
            <w:r>
              <w:t>项目</w:t>
            </w:r>
          </w:p>
        </w:tc>
        <w:tc>
          <w:tcPr>
            <w:tcW w:w="2500" w:type="pct"/>
          </w:tcPr>
          <w:p w14:paraId="547FBDC5">
            <w:pPr>
              <w:spacing w:after="0" w:line="240" w:lineRule="auto"/>
            </w:pPr>
            <w:r>
              <w:t>技术</w:t>
            </w:r>
          </w:p>
        </w:tc>
      </w:tr>
      <w:tr w14:paraId="2692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A599773">
            <w:pPr>
              <w:spacing w:after="0" w:line="240" w:lineRule="auto"/>
            </w:pPr>
            <w:r>
              <w:t>前端</w:t>
            </w:r>
          </w:p>
        </w:tc>
        <w:tc>
          <w:tcPr>
            <w:tcW w:w="2500" w:type="pct"/>
          </w:tcPr>
          <w:p w14:paraId="3082EF9F">
            <w:pPr>
              <w:spacing w:after="0" w:line="240" w:lineRule="auto"/>
            </w:pPr>
            <w:r>
              <w:t>Vue3</w:t>
            </w:r>
          </w:p>
        </w:tc>
      </w:tr>
      <w:tr w14:paraId="0E7F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437BAE8">
            <w:pPr>
              <w:spacing w:after="0" w:line="240" w:lineRule="auto"/>
            </w:pPr>
            <w:r>
              <w:t>UI框架</w:t>
            </w:r>
          </w:p>
        </w:tc>
        <w:tc>
          <w:tcPr>
            <w:tcW w:w="2500" w:type="pct"/>
          </w:tcPr>
          <w:p w14:paraId="079659F3">
            <w:pPr>
              <w:spacing w:after="0" w:line="240" w:lineRule="auto"/>
            </w:pPr>
            <w:r>
              <w:t>Element Plus</w:t>
            </w:r>
          </w:p>
        </w:tc>
      </w:tr>
      <w:tr w14:paraId="328D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ED604FF">
            <w:pPr>
              <w:spacing w:after="0" w:line="240" w:lineRule="auto"/>
            </w:pPr>
            <w:r>
              <w:t>后端</w:t>
            </w:r>
          </w:p>
        </w:tc>
        <w:tc>
          <w:tcPr>
            <w:tcW w:w="2500" w:type="pct"/>
          </w:tcPr>
          <w:p w14:paraId="19D4F344">
            <w:pPr>
              <w:spacing w:after="0" w:line="240" w:lineRule="auto"/>
            </w:pPr>
            <w:r>
              <w:t>SpringBoot</w:t>
            </w:r>
          </w:p>
        </w:tc>
      </w:tr>
      <w:tr w14:paraId="58B8E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F08643D">
            <w:pPr>
              <w:spacing w:after="0" w:line="240" w:lineRule="auto"/>
            </w:pPr>
            <w:r>
              <w:t>ORM</w:t>
            </w:r>
          </w:p>
        </w:tc>
        <w:tc>
          <w:tcPr>
            <w:tcW w:w="2500" w:type="pct"/>
          </w:tcPr>
          <w:p w14:paraId="5C85A99D">
            <w:pPr>
              <w:spacing w:after="0" w:line="240" w:lineRule="auto"/>
            </w:pPr>
            <w:r>
              <w:t>MyBatis</w:t>
            </w:r>
          </w:p>
        </w:tc>
      </w:tr>
      <w:tr w14:paraId="7CD1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D1BA149">
            <w:pPr>
              <w:spacing w:after="0" w:line="240" w:lineRule="auto"/>
            </w:pPr>
            <w:r>
              <w:t>数据库</w:t>
            </w:r>
          </w:p>
        </w:tc>
        <w:tc>
          <w:tcPr>
            <w:tcW w:w="2500" w:type="pct"/>
          </w:tcPr>
          <w:p w14:paraId="4558AEB0">
            <w:pPr>
              <w:spacing w:after="0" w:line="240" w:lineRule="auto"/>
            </w:pPr>
            <w:r>
              <w:t>MySQL</w:t>
            </w:r>
          </w:p>
        </w:tc>
      </w:tr>
      <w:tr w14:paraId="459D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92C9843">
            <w:pPr>
              <w:spacing w:after="0" w:line="240" w:lineRule="auto"/>
            </w:pPr>
            <w:r>
              <w:t>开发工具</w:t>
            </w:r>
          </w:p>
        </w:tc>
        <w:tc>
          <w:tcPr>
            <w:tcW w:w="2500" w:type="pct"/>
          </w:tcPr>
          <w:p w14:paraId="7200046F">
            <w:pPr>
              <w:spacing w:after="0" w:line="240" w:lineRule="auto"/>
            </w:pPr>
            <w:r>
              <w:t>IDEA</w:t>
            </w:r>
          </w:p>
        </w:tc>
      </w:tr>
      <w:tr w14:paraId="7B4C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98EA162">
            <w:pPr>
              <w:spacing w:after="0" w:line="240" w:lineRule="auto"/>
            </w:pPr>
            <w:r>
              <w:t>前端工具</w:t>
            </w:r>
          </w:p>
        </w:tc>
        <w:tc>
          <w:tcPr>
            <w:tcW w:w="2500" w:type="pct"/>
          </w:tcPr>
          <w:p w14:paraId="3259EED6">
            <w:pPr>
              <w:spacing w:after="0" w:line="240" w:lineRule="auto"/>
            </w:pPr>
            <w:r>
              <w:t>VS Code</w:t>
            </w:r>
          </w:p>
        </w:tc>
      </w:tr>
    </w:tbl>
    <w:p w14:paraId="593C30B9"/>
    <w:p w14:paraId="4ADCA5B6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运行环境</w:t>
      </w:r>
    </w:p>
    <w:p w14:paraId="691E3642"/>
    <w:p w14:paraId="26DE423C">
      <w:pPr>
        <w:pStyle w:val="5"/>
      </w:pPr>
      <w:r>
        <w:t>数据库服务器</w:t>
      </w:r>
    </w:p>
    <w:p w14:paraId="5ECBE6F0"/>
    <w:p w14:paraId="016301B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CPU：i5及以上</w:t>
      </w:r>
    </w:p>
    <w:p w14:paraId="514BF1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内存：16GB</w:t>
      </w:r>
    </w:p>
    <w:p w14:paraId="0235D0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硬盘：512GB SSD</w:t>
      </w:r>
    </w:p>
    <w:p w14:paraId="14A2FB6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MySQL 8.0</w:t>
      </w:r>
    </w:p>
    <w:p w14:paraId="34AF090C"/>
    <w:p w14:paraId="7CC43C4D">
      <w:pPr>
        <w:pStyle w:val="5"/>
      </w:pPr>
      <w:r>
        <w:t>应用服务器</w:t>
      </w:r>
    </w:p>
    <w:p w14:paraId="7D2C275F"/>
    <w:p w14:paraId="6AEA14D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Windows Server / Linux</w:t>
      </w:r>
    </w:p>
    <w:p w14:paraId="27C8C9C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JDK17</w:t>
      </w:r>
    </w:p>
    <w:p w14:paraId="0025850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SpringBoot</w:t>
      </w:r>
    </w:p>
    <w:p w14:paraId="643AD859"/>
    <w:p w14:paraId="586D43E7">
      <w:pPr>
        <w:pStyle w:val="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浏览器</w:t>
      </w:r>
    </w:p>
    <w:p w14:paraId="78D49DC8"/>
    <w:p w14:paraId="52CAE2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Chrome</w:t>
      </w:r>
    </w:p>
    <w:p w14:paraId="743A6EF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Edge</w:t>
      </w:r>
    </w:p>
    <w:p w14:paraId="64D4ED4F"/>
    <w:p w14:paraId="485F5A70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具体功能需求</w:t>
      </w:r>
    </w:p>
    <w:p w14:paraId="5EDE5FCC"/>
    <w:p w14:paraId="16289B36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NEPS公众监督员端</w:t>
      </w:r>
    </w:p>
    <w:p w14:paraId="7171A1DD"/>
    <w:p w14:paraId="64095D80">
      <w:pPr>
        <w:pStyle w:val="5"/>
      </w:pPr>
      <w:r>
        <w:t>AQI问题反馈</w:t>
      </w:r>
    </w:p>
    <w:p w14:paraId="6F34813A">
      <w:pPr>
        <w:spacing w:after="75" w:afterAutospacing="0"/>
        <w:jc w:val="both"/>
        <w:rPr>
          <w:rFonts w:hint="eastAsia" w:ascii="宋体" w:hAnsi="宋体" w:eastAsia="宋体" w:cs="宋体"/>
          <w:b/>
          <w:bCs/>
          <w:sz w:val="12"/>
          <w:szCs w:val="12"/>
        </w:rPr>
      </w:pP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00"/>
        <w:gridCol w:w="4960"/>
      </w:tblGrid>
      <w:tr w14:paraId="7D64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73E1C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7B687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0AC9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475B1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空气质量上报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5FC89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上传现场图片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输入问题描述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自动定位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提交反馈</w:t>
            </w:r>
          </w:p>
        </w:tc>
      </w:tr>
      <w:tr w14:paraId="14FF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9DE60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历史反馈查询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C0982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分页显示反馈记录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根据时间查询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查看处理进度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查看处理结果</w:t>
            </w:r>
          </w:p>
        </w:tc>
      </w:tr>
    </w:tbl>
    <w:p w14:paraId="2CE5915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05610716"/>
    <w:p w14:paraId="6204E54E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NEPG网格员端</w:t>
      </w:r>
    </w:p>
    <w:p w14:paraId="6D069832"/>
    <w:p w14:paraId="78A163A6">
      <w:pPr>
        <w:pStyle w:val="5"/>
      </w:pPr>
      <w:r>
        <w:t>AQI检测确认</w:t>
      </w:r>
    </w:p>
    <w:p w14:paraId="7D55C30F"/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551"/>
        <w:gridCol w:w="3209"/>
      </w:tblGrid>
      <w:tr w14:paraId="7563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68" w:type="pct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99831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功能分类</w:t>
            </w:r>
          </w:p>
        </w:tc>
        <w:tc>
          <w:tcPr>
            <w:tcW w:w="1831" w:type="pct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A88D3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7984C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68" w:type="pct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64E94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对公众反馈的问题进行现场核查</w:t>
            </w:r>
          </w:p>
        </w:tc>
        <w:tc>
          <w:tcPr>
            <w:tcW w:w="1831" w:type="pct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FAF48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查看待处理任务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填写检测数据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上传检测照片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提交检测结果</w:t>
            </w:r>
          </w:p>
        </w:tc>
      </w:tr>
      <w:tr w14:paraId="6136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68" w:type="pct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591B6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AQI数据上报</w:t>
            </w:r>
          </w:p>
        </w:tc>
        <w:tc>
          <w:tcPr>
            <w:tcW w:w="1831" w:type="pct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D0D6F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PM2.5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PM10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SO₂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NO₂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O₃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AQI指数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录入并提交</w:t>
            </w:r>
          </w:p>
        </w:tc>
      </w:tr>
    </w:tbl>
    <w:p w14:paraId="55F6492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3FBE28EB"/>
    <w:p w14:paraId="4787258E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NEPM系统管理员端</w:t>
      </w:r>
    </w:p>
    <w:p w14:paraId="5DCFD54D"/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80"/>
        <w:gridCol w:w="4380"/>
      </w:tblGrid>
      <w:tr w14:paraId="4858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F0DA9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C68EF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2C6A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D0697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用户管理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37060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监督员管理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网格员管理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状态维护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权限分配</w:t>
            </w:r>
          </w:p>
        </w:tc>
      </w:tr>
      <w:tr w14:paraId="7849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19452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AQI问题管理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6AFC7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查看反馈信息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指派网格员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修改状态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闭环处理</w:t>
            </w:r>
          </w:p>
        </w:tc>
      </w:tr>
      <w:tr w14:paraId="58E5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F1FF1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数据统计分析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23B0C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城市AQI统计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月度统计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年度统计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趋势分析</w:t>
            </w:r>
          </w:p>
        </w:tc>
      </w:tr>
    </w:tbl>
    <w:p w14:paraId="3BDB2D4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30D3D2BB"/>
    <w:p w14:paraId="2D9E430C">
      <w:pPr>
        <w:pStyle w:val="4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NEPV决策者端</w:t>
      </w:r>
    </w:p>
    <w:p w14:paraId="3BAA012F"/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47"/>
        <w:gridCol w:w="5313"/>
      </w:tblGrid>
      <w:tr w14:paraId="31E4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421E8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0864D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5688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6437D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可视化大屏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6CFE23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AQI等级分布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城市空气质量排名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问题处理情况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趋势变化图</w:t>
            </w:r>
          </w:p>
        </w:tc>
      </w:tr>
      <w:tr w14:paraId="31B3C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57633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决策分析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F6623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污染热点分析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区域风险分析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环保治理评估</w:t>
            </w:r>
          </w:p>
        </w:tc>
      </w:tr>
    </w:tbl>
    <w:p w14:paraId="7433A9F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43BBEFB6"/>
    <w:p w14:paraId="41F17E6C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用例图</w:t>
      </w:r>
    </w:p>
    <w:p w14:paraId="6FEC3544"/>
    <w:p w14:paraId="23D8A2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19425" cy="6515100"/>
            <wp:effectExtent l="0" t="0" r="0" b="0"/>
            <wp:docPr id="1" name="图片 1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769E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业务流程图</w:t>
      </w:r>
    </w:p>
    <w:p w14:paraId="3817EE38"/>
    <w:p w14:paraId="53E43C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998345" cy="8227695"/>
            <wp:effectExtent l="0" t="0" r="1905" b="1905"/>
            <wp:docPr id="2" name="图片 2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业务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AB83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泳道图</w:t>
      </w:r>
    </w:p>
    <w:p w14:paraId="1B81096D"/>
    <w:p w14:paraId="16D360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67985" cy="2628900"/>
            <wp:effectExtent l="0" t="0" r="8890" b="0"/>
            <wp:docPr id="3" name="图片 3" descr="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泳道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8937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页面原型设计</w:t>
      </w:r>
    </w:p>
    <w:p w14:paraId="01D6EE0B"/>
    <w:p w14:paraId="70A99E41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NEPS公众监督员端</w:t>
      </w:r>
    </w:p>
    <w:p w14:paraId="0CC1B912"/>
    <w:p w14:paraId="16504947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7655" cy="6621780"/>
            <wp:effectExtent l="0" t="0" r="4445" b="762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662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2A306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NEPG网格员端</w:t>
      </w:r>
    </w:p>
    <w:p w14:paraId="05170A06"/>
    <w:p w14:paraId="02205A80">
      <w:r>
        <w:drawing>
          <wp:inline distT="0" distB="0" distL="114300" distR="114300">
            <wp:extent cx="5485130" cy="3573145"/>
            <wp:effectExtent l="0" t="0" r="127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A14F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NEPM系统管理员端</w:t>
      </w:r>
    </w:p>
    <w:p w14:paraId="3B925A82"/>
    <w:p w14:paraId="3FBC962B">
      <w:r>
        <w:drawing>
          <wp:inline distT="0" distB="0" distL="114300" distR="114300">
            <wp:extent cx="5486400" cy="3622040"/>
            <wp:effectExtent l="0" t="0" r="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BFED">
      <w:r>
        <w:drawing>
          <wp:inline distT="0" distB="0" distL="114300" distR="114300">
            <wp:extent cx="5485130" cy="6242685"/>
            <wp:effectExtent l="0" t="0" r="1270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E950">
      <w:r>
        <w:drawing>
          <wp:inline distT="0" distB="0" distL="114300" distR="114300">
            <wp:extent cx="5481320" cy="6180455"/>
            <wp:effectExtent l="0" t="0" r="508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61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4DFF">
      <w:r>
        <w:drawing>
          <wp:inline distT="0" distB="0" distL="114300" distR="114300">
            <wp:extent cx="5486400" cy="6130290"/>
            <wp:effectExtent l="0" t="0" r="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FBA2">
      <w:r>
        <w:drawing>
          <wp:inline distT="0" distB="0" distL="114300" distR="114300">
            <wp:extent cx="5485765" cy="6306820"/>
            <wp:effectExtent l="0" t="0" r="635" b="825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30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09D0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NEPV决策者端</w:t>
      </w:r>
    </w:p>
    <w:p w14:paraId="0BABCF0A"/>
    <w:p w14:paraId="231ABAE6">
      <w:r>
        <w:drawing>
          <wp:inline distT="0" distB="0" distL="114300" distR="114300">
            <wp:extent cx="5475605" cy="2930525"/>
            <wp:effectExtent l="0" t="0" r="127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A1990"/>
    <w:multiLevelType w:val="singleLevel"/>
    <w:tmpl w:val="B86A1990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">
    <w:nsid w:val="C97406ED"/>
    <w:multiLevelType w:val="singleLevel"/>
    <w:tmpl w:val="C97406ED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">
    <w:nsid w:val="F9919FF8"/>
    <w:multiLevelType w:val="singleLevel"/>
    <w:tmpl w:val="F9919FF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5096E609"/>
    <w:multiLevelType w:val="singleLevel"/>
    <w:tmpl w:val="5096E609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10">
    <w:nsid w:val="602A84D7"/>
    <w:multiLevelType w:val="singleLevel"/>
    <w:tmpl w:val="602A84D7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1">
    <w:nsid w:val="75E928D3"/>
    <w:multiLevelType w:val="singleLevel"/>
    <w:tmpl w:val="75E928D3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11"/>
  </w:num>
  <w:num w:numId="9">
    <w:abstractNumId w:val="10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A8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 New" w:hAnsi="Courier New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629</Words>
  <Characters>662</Characters>
  <Lines>0</Lines>
  <Paragraphs>0</Paragraphs>
  <TotalTime>43</TotalTime>
  <ScaleCrop>false</ScaleCrop>
  <LinksUpToDate>false</LinksUpToDate>
  <CharactersWithSpaces>670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重拾</cp:lastModifiedBy>
  <dcterms:modified xsi:type="dcterms:W3CDTF">2026-06-04T14:47:55Z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eyJoZGlkIjoiOWY5NjEwZjZkMDMyOTgwOWQ1YTI3NDY2OWQ5MmQ2YjgiLCJ1c2VySWQiOiIyNjEyMzkxMjAifQ==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4376AB15A9754151AD830E649BFB8357_12</vt:lpwstr>
  </property>
</Properties>
</file>