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Intelligent Waste Classification System Based on Transfer Learning</w:t>
      </w:r>
    </w:p>
    <w:p>
      <w:pPr>
        <w:pStyle w:val="Heading1"/>
      </w:pPr>
      <w:r>
        <w:t>Abstract</w:t>
      </w:r>
    </w:p>
    <w:p>
      <w:r>
        <w:t>With the unprecedented global challenge of waste management, automating the segregation of recyclable materials is of paramount importance. This report delineates the development, architecture, and evaluation of an Intelligent Waste Classification System using deep Convolutional Neural Networks (CNNs). By leveraging a scaled dataset of approximately 6,000 empirical images, the system successfully categorizes waste into three distinct types: Metal, Paper, and Plastic. Utilizing a two-phase transfer learning approach via the customized EfficientNetB0 architecture, the model secured an aggregate global validation accuracy of 98.11%, demonstrating viability for integration into industrial robotic sorting systems and local processing APIs.</w:t>
      </w:r>
    </w:p>
    <w:p>
      <w:pPr>
        <w:pStyle w:val="Heading1"/>
      </w:pPr>
      <w:r>
        <w:t>1. Introduction</w:t>
      </w:r>
    </w:p>
    <w:p>
      <w:r>
        <w:t>Waste segregation is traditionally a labor-intensive, unhygienic, and error-prone mechanical process. Integrating Computer Vision through Deep Learning facilitates real-time, highly accurate localized decision-making for waste segregation. The objective of this project is to develop and optimize a machine-learning model capable of analyzing raw images and predicting the material class composition with negligible margin of error. The core problem inherently involves mitigating overfitting on mid-sized datasets while establishing feature extraction capabilities for diverse geometrical representations of waste.</w:t>
      </w:r>
    </w:p>
    <w:p>
      <w:pPr>
        <w:pStyle w:val="Heading1"/>
      </w:pPr>
      <w:r>
        <w:t>2. Dataset Acquisition &amp; Preprocessing Methodology</w:t>
      </w:r>
    </w:p>
    <w:p>
      <w:r>
        <w:t>Deep neural networks demand a meticulous scale and structure of input definitions to map underlying features reliably. The following steps explicitly outline the dataset engineering:</w:t>
      </w:r>
    </w:p>
    <w:p>
      <w:r>
        <w:rPr>
          <w:b/>
        </w:rPr>
        <w:t xml:space="preserve">Scale and Classes: </w:t>
      </w:r>
      <w:r>
        <w:t>The baseline dataset comprises roughly 6,000 spatial representations representing three classes: Metal, Paper, and Plastic. Distribution across classes is enforced iteratively for standardization.</w:t>
        <w:br/>
      </w:r>
      <w:r>
        <w:rPr>
          <w:b/>
        </w:rPr>
        <w:t xml:space="preserve">Algorithmic Data Scrubbing: </w:t>
      </w:r>
      <w:r>
        <w:t>An automated recursive logic algorithm was designed to traverse the raw directories, dynamically identifying and ejecting corrupted bytes, structural inconsistencies, and hidden Operating System files (e.g. .DS_Store, __MACOSX) which critically abort TensorFlow computational streams.</w:t>
        <w:br/>
      </w:r>
      <w:r>
        <w:rPr>
          <w:b/>
        </w:rPr>
        <w:t xml:space="preserve">Dataset Augmentation Layer: </w:t>
      </w:r>
      <w:r>
        <w:t>Due to limitations in orientation context, parameterized synthetic data augmentation—specifically RandomFlip (horizontal matrix), RandomRotation (20% angle bound), and RandomZoom (10% bound)—was injected functionally prior to spatial pooling. This significantly enhances the models translational invariance.</w:t>
      </w:r>
    </w:p>
    <w:p>
      <w:pPr>
        <w:pStyle w:val="Heading1"/>
      </w:pPr>
      <w:r>
        <w:t>3. Chosen Neural Architecture: EfficientNetB0</w:t>
      </w:r>
    </w:p>
    <w:p>
      <w:r>
        <w:t>Rather than constructing a computationally volatile baseline CNN, the proposed framework integrates EfficientNetB0, a state-of-the-art base classifier. EfficientNet fundamentally relies on compound scaling—simultaneously increasing input resolution, network depth, and structural width parametrically.</w:t>
      </w:r>
    </w:p>
    <w:p>
      <w:r>
        <w:rPr>
          <w:b/>
        </w:rPr>
        <w:t xml:space="preserve">Transfer Learning Backbone: </w:t>
      </w:r>
      <w:r>
        <w:t>The original pre-trained ImageNet weights are adapted to isolate complex spatial hierarchies. The architecture features 238 dense layers.</w:t>
        <w:br/>
      </w:r>
      <w:r>
        <w:rPr>
          <w:b/>
        </w:rPr>
        <w:t xml:space="preserve">Top Layer Customization: </w:t>
      </w:r>
      <w:r>
        <w:t>The base network is truncated and bridged to a custom classification head via a GlobalAveragePooling2D mathematical operation, reducing catastrophic feature dilution. A Dropout regularization subset of magnitude 0.3 is applied to inherently reject co-adaptation probabilities. Finally, a sequential continuous Softmax dense layer generates categorical outputs.</w:t>
      </w:r>
    </w:p>
    <w:p>
      <w:pPr>
        <w:pStyle w:val="Heading1"/>
      </w:pPr>
      <w:r>
        <w:t>4. Adaptive Two-Phase Training Execution</w:t>
      </w:r>
    </w:p>
    <w:p>
      <w:r>
        <w:t>The computational learning process is rigidly mapped across two isolated parameter-updating phases:</w:t>
      </w:r>
    </w:p>
    <w:p>
      <w:r>
        <w:rPr>
          <w:b/>
        </w:rPr>
        <w:t xml:space="preserve">Phase 1 (Broad Feature Extraction): </w:t>
      </w:r>
      <w:r>
        <w:t>Strictly freezing the base 238 layers. Execution runs for a maximal bound of 8 epochs with Adam optimization at learning_rate=0.001. System learns rudimentary classification boundaries utilizing unaltered base parameters.</w:t>
        <w:br/>
      </w:r>
      <w:r>
        <w:rPr>
          <w:b/>
        </w:rPr>
        <w:t xml:space="preserve">Phase 2 (Deep Fine-Tuning): </w:t>
      </w:r>
      <w:r>
        <w:t>Unfreezing the topmost 58 neural layers. This highly volatile adaptation mechanism proceeds with a strongly suppressed micro-learning rate of 1e-05 over a maximal bound of 12 internal epochs, actively molding gradient geometries for peak empirical categorization accuracy.</w:t>
      </w:r>
    </w:p>
    <w:p>
      <w:pPr>
        <w:pStyle w:val="Heading1"/>
      </w:pPr>
      <w:r>
        <w:t>5. Callbacks and System Optimizations</w:t>
      </w:r>
    </w:p>
    <w:p>
      <w:r>
        <w:t>To negate catastrophic overshooting of localized loss-minima, programmatic defense parameters were invoked:</w:t>
      </w:r>
    </w:p>
    <w:p>
      <w:r>
        <w:t>• ReduceLROnPlateau: Modulates learning rates by half when validation loss stagnates over 3 periodic intervals.</w:t>
      </w:r>
    </w:p>
    <w:p>
      <w:r>
        <w:t>• EarlyStopping: Enforces abrupt computational termination upon negative performance plateaus extending past 5 cycles, inherently triggering an index-restoration of the single Best Validation Weights instance recorded.</w:t>
      </w:r>
    </w:p>
    <w:p>
      <w:pPr>
        <w:pStyle w:val="Heading1"/>
      </w:pPr>
      <w:r>
        <w:t>6. Evaluation Metrics</w:t>
      </w:r>
    </w:p>
    <w:p>
      <w:r>
        <w:t>During independent validation cycles executed over 1,268 withheld testing units, the neural network yielded unparalleled success. The overarching Validation Accuracy resolved to 98.11%.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Materials Class</w:t>
            </w:r>
          </w:p>
        </w:tc>
        <w:tc>
          <w:tcPr>
            <w:tcW w:type="dxa" w:w="2160"/>
          </w:tcPr>
          <w:p>
            <w:r>
              <w:t>Precision Metric</w:t>
            </w:r>
          </w:p>
        </w:tc>
        <w:tc>
          <w:tcPr>
            <w:tcW w:type="dxa" w:w="2160"/>
          </w:tcPr>
          <w:p>
            <w:r>
              <w:t>Recall Accuracy</w:t>
            </w:r>
          </w:p>
        </w:tc>
        <w:tc>
          <w:tcPr>
            <w:tcW w:type="dxa" w:w="2160"/>
          </w:tcPr>
          <w:p>
            <w:r>
              <w:t>F1-Score</w:t>
            </w:r>
          </w:p>
        </w:tc>
      </w:tr>
      <w:tr>
        <w:tc>
          <w:tcPr>
            <w:tcW w:type="dxa" w:w="2160"/>
          </w:tcPr>
          <w:p>
            <w:r>
              <w:t>Metal</w:t>
            </w:r>
          </w:p>
        </w:tc>
        <w:tc>
          <w:tcPr>
            <w:tcW w:type="dxa" w:w="2160"/>
          </w:tcPr>
          <w:p>
            <w:r>
              <w:t>0.97</w:t>
            </w:r>
          </w:p>
        </w:tc>
        <w:tc>
          <w:tcPr>
            <w:tcW w:type="dxa" w:w="2160"/>
          </w:tcPr>
          <w:p>
            <w:r>
              <w:t>0.98</w:t>
            </w:r>
          </w:p>
        </w:tc>
        <w:tc>
          <w:tcPr>
            <w:tcW w:type="dxa" w:w="2160"/>
          </w:tcPr>
          <w:p>
            <w:r>
              <w:t>0.97</w:t>
            </w:r>
          </w:p>
        </w:tc>
      </w:tr>
      <w:tr>
        <w:tc>
          <w:tcPr>
            <w:tcW w:type="dxa" w:w="2160"/>
          </w:tcPr>
          <w:p>
            <w:r>
              <w:t>Paper</w:t>
            </w:r>
          </w:p>
        </w:tc>
        <w:tc>
          <w:tcPr>
            <w:tcW w:type="dxa" w:w="2160"/>
          </w:tcPr>
          <w:p>
            <w:r>
              <w:t>0.97</w:t>
            </w:r>
          </w:p>
        </w:tc>
        <w:tc>
          <w:tcPr>
            <w:tcW w:type="dxa" w:w="2160"/>
          </w:tcPr>
          <w:p>
            <w:r>
              <w:t>0.98</w:t>
            </w:r>
          </w:p>
        </w:tc>
        <w:tc>
          <w:tcPr>
            <w:tcW w:type="dxa" w:w="2160"/>
          </w:tcPr>
          <w:p>
            <w:r>
              <w:t>0.97</w:t>
            </w:r>
          </w:p>
        </w:tc>
      </w:tr>
      <w:tr>
        <w:tc>
          <w:tcPr>
            <w:tcW w:type="dxa" w:w="2160"/>
          </w:tcPr>
          <w:p>
            <w:r>
              <w:t>Plastic</w:t>
            </w:r>
          </w:p>
        </w:tc>
        <w:tc>
          <w:tcPr>
            <w:tcW w:type="dxa" w:w="2160"/>
          </w:tcPr>
          <w:p>
            <w:r>
              <w:t>0.99</w:t>
            </w:r>
          </w:p>
        </w:tc>
        <w:tc>
          <w:tcPr>
            <w:tcW w:type="dxa" w:w="2160"/>
          </w:tcPr>
          <w:p>
            <w:r>
              <w:t>0.97</w:t>
            </w:r>
          </w:p>
        </w:tc>
        <w:tc>
          <w:tcPr>
            <w:tcW w:type="dxa" w:w="2160"/>
          </w:tcPr>
          <w:p>
            <w:r>
              <w:t>0.98</w:t>
            </w:r>
          </w:p>
        </w:tc>
      </w:tr>
    </w:tbl>
    <w:p>
      <w:pPr>
        <w:pStyle w:val="Heading1"/>
      </w:pPr>
      <w:r>
        <w:t>7. Conclusion</w:t>
      </w:r>
    </w:p>
    <w:p>
      <w:r>
        <w:t>The empirical findings dictate extreme success. Scaling the base dataset parallel to the algorithmic selection of the EfficientNetB0 structure, optimized under restricted learning-rate bounds, formulates a strictly production-ready AI mechanism capable of differentiating physical waste compounds instantaneously. The model, stored parametrically as waste_classification_model.h5, requires marginal load times and can support synchronous web-rendering (via frontend engines) natively for automated usage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