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Risks and Opportunities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Risk Occurrence Criteria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570"/>
        <w:gridCol w:w="3120"/>
        <w:tblGridChange w:id="0">
          <w:tblGrid>
            <w:gridCol w:w="2670"/>
            <w:gridCol w:w="3570"/>
            <w:gridCol w:w="3120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Level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Likelihood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Probability of Occurrence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Very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50%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70%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Very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016">
      <w:pPr>
        <w:spacing w:after="200" w:lineRule="auto"/>
        <w:rPr>
          <w:rFonts w:ascii="Times New Roman" w:cs="Times New Roman" w:eastAsia="Times New Roman" w:hAnsi="Times New Roman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jc w:val="left"/>
        <w:rPr>
          <w:rFonts w:ascii="Times New Roman" w:cs="Times New Roman" w:eastAsia="Times New Roman" w:hAnsi="Times New Roman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Times New Roman" w:cs="Times New Roman" w:eastAsia="Times New Roman" w:hAnsi="Times New Roman"/>
          <w:color w:val="231f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rtl w:val="0"/>
        </w:rPr>
        <w:t xml:space="preserve">Risk Consequence Criteria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315"/>
        <w:gridCol w:w="2340"/>
        <w:gridCol w:w="2340"/>
        <w:tblGridChange w:id="0">
          <w:tblGrid>
            <w:gridCol w:w="1365"/>
            <w:gridCol w:w="3315"/>
            <w:gridCol w:w="2340"/>
            <w:gridCol w:w="2340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Level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Technical Performance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Schedule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Minimal or no consequence to technical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Minimal or no impact.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Minimal or no impact.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Minor reduction in technical performance or supportability, can be tolerated with little or no impact on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Able to meet key dates with very minor slip in schedule.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Slip &lt;1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Minor budget increase or unit production cost increases.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&lt; ** (1% of Budget)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Moderate reduction in technical performance or supportability. Will have a minor impact on program objectives.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Minor schedule slip. Able to meet key milestones with no schedule float.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Slip &lt; 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Moderate budget increase or unit production cost increase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&lt; ** (5% of Budget)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Significant degradation in technical performance or major shortfall in supportability.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May jeopardize program success.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Program critical path affected.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Slip &lt; 1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High budget increase or unit production cost increase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&lt; ** (10% ofBudget)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Severe degradation in technical performance; Cannot meet system requirements or listed specifications.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Will jeopardize program success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Cannot meet key program milestones.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Slip &lt;2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Exceeds allowable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threshold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&gt; ** (10% of Budget)</w:t>
            </w:r>
          </w:p>
        </w:tc>
      </w:tr>
    </w:tbl>
    <w:p w:rsidR="00000000" w:rsidDel="00000000" w:rsidP="00000000" w:rsidRDefault="00000000" w:rsidRPr="00000000" w14:paraId="0000003D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Risk Reporting Cube</w:t>
      </w:r>
    </w:p>
    <w:tbl>
      <w:tblPr>
        <w:tblStyle w:val="Table3"/>
        <w:tblW w:w="50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20"/>
        <w:gridCol w:w="720"/>
        <w:gridCol w:w="735"/>
        <w:gridCol w:w="690"/>
        <w:gridCol w:w="735"/>
        <w:gridCol w:w="720"/>
        <w:gridCol w:w="720"/>
        <w:tblGridChange w:id="0">
          <w:tblGrid>
            <w:gridCol w:w="720"/>
            <w:gridCol w:w="720"/>
            <w:gridCol w:w="735"/>
            <w:gridCol w:w="690"/>
            <w:gridCol w:w="735"/>
            <w:gridCol w:w="720"/>
            <w:gridCol w:w="720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376238</wp:posOffset>
                      </wp:positionV>
                      <wp:extent cx="452438" cy="1038225"/>
                      <wp:effectExtent b="0" l="0" r="0" t="0"/>
                      <wp:wrapTopAndBottom distB="114300" distT="114300"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519550" y="568550"/>
                                <a:ext cx="1019400" cy="450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Likelihood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376238</wp:posOffset>
                      </wp:positionV>
                      <wp:extent cx="452438" cy="1038225"/>
                      <wp:effectExtent b="0" l="0" r="0" t="0"/>
                      <wp:wrapTopAndBottom distB="114300" distT="11430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2438" cy="1038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6,7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8,9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8"/>
                <w:szCs w:val="28"/>
                <w:rtl w:val="0"/>
              </w:rPr>
              <w:t xml:space="preserve">Consequence</w:t>
            </w:r>
          </w:p>
        </w:tc>
      </w:tr>
    </w:tbl>
    <w:p w:rsidR="00000000" w:rsidDel="00000000" w:rsidP="00000000" w:rsidRDefault="00000000" w:rsidRPr="00000000" w14:paraId="00000075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Risk Reporting List </w:t>
      </w:r>
    </w:p>
    <w:tbl>
      <w:tblPr>
        <w:tblStyle w:val="Table4"/>
        <w:tblW w:w="927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835"/>
        <w:gridCol w:w="1320"/>
        <w:gridCol w:w="1620"/>
        <w:gridCol w:w="2490"/>
        <w:tblGridChange w:id="0">
          <w:tblGrid>
            <w:gridCol w:w="1005"/>
            <w:gridCol w:w="2835"/>
            <w:gridCol w:w="1320"/>
            <w:gridCol w:w="1620"/>
            <w:gridCol w:w="2490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Number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Risk Statement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Level of Likelihood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Level of Consequence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Mitigation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If the SDSU machine shop remains closed due to the coronavirus, we will have to outsource parts.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Work closely with faculty to follow COVID-19 regulations and keep shop operational.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If we have to outsource parts, cost will dramatically increase, possibly causing the project to be over our initial budget.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Try to get a quote far in advance, possible discount for student teams.</w:t>
            </w:r>
          </w:p>
        </w:tc>
      </w:tr>
      <w:tr>
        <w:trPr>
          <w:trHeight w:val="1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If we are not able to work with the electrical engineering team, we will have to design the electrical system ourselves.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Separate electronics plan utilizing basic interface and minor automation.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If a part from outsourcing does not meet our design specs, it will have to be returned, delaying our current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Ensure drawings are clearly displayed to enhance clarity.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Order parts ahead of schedule to minimize potential impact.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If communication may suffer due to the virtual environment,this will lead to errors that compromise the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Regular online video meetings with clear work breakdown structure will ensure all team members are on the same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If a team member contracts coronavirus, the project may be put behind schedule due to loss in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Team members will follow Federal and SDSU regulations/advice in staying healthy.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If a part breaks, we will have to reorder/remake it, putting us behind schedule and adding to the overall cost.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Will manufacture several copies of at-risk parts.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If lack of accountability in the virtual environment leads to loss of performance, this will put the project behind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Use of “Smartsheet” application will keep log of all tasks, including who is responsible and due date of listed tasks.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If an infectious team member spreads coronavirus to teammates, this will dramatically decrease performance which will cause the project to be behind schedule.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(Note: only if team decides to meet in person)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Team members will follow Federal and SDSU regulations/advice in staying healthy.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If water in our system leaks, possibly compromising electronics and requiring us to reorder parts.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Will test the water system outside of the unit, with no electronics installed.</w:t>
            </w:r>
          </w:p>
        </w:tc>
      </w:tr>
    </w:tbl>
    <w:p w:rsidR="00000000" w:rsidDel="00000000" w:rsidP="00000000" w:rsidRDefault="00000000" w:rsidRPr="00000000" w14:paraId="000000B2">
      <w:pPr>
        <w:spacing w:after="200" w:lineRule="auto"/>
        <w:jc w:val="center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Opportunities (Potential)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570"/>
        <w:gridCol w:w="3120"/>
        <w:tblGridChange w:id="0">
          <w:tblGrid>
            <w:gridCol w:w="2670"/>
            <w:gridCol w:w="3570"/>
            <w:gridCol w:w="312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Level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Likelihood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Probability of Occurrence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Very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50%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70%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Very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0C7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515"/>
        <w:gridCol w:w="1905"/>
        <w:gridCol w:w="1800"/>
        <w:gridCol w:w="1455"/>
        <w:gridCol w:w="1785"/>
        <w:tblGridChange w:id="0">
          <w:tblGrid>
            <w:gridCol w:w="900"/>
            <w:gridCol w:w="1515"/>
            <w:gridCol w:w="1905"/>
            <w:gridCol w:w="1800"/>
            <w:gridCol w:w="1455"/>
            <w:gridCol w:w="1785"/>
          </w:tblGrid>
        </w:tblGridChange>
      </w:tblGrid>
      <w:tr>
        <w:trPr>
          <w:trHeight w:val="780" w:hRule="atLeast"/>
        </w:trPr>
        <w:tc>
          <w:tcPr>
            <w:vMerge w:val="restart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Level</w:t>
            </w:r>
          </w:p>
        </w:tc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Cost</w:t>
            </w:r>
          </w:p>
        </w:tc>
        <w:tc>
          <w:tcPr>
            <w:vMerge w:val="restart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Schedule</w:t>
            </w:r>
          </w:p>
        </w:tc>
        <w:tc>
          <w:tcPr>
            <w:vMerge w:val="restart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Performance</w:t>
            </w:r>
          </w:p>
        </w:tc>
      </w:tr>
      <w:tr>
        <w:trPr>
          <w:trHeight w:val="780" w:hRule="atLeast"/>
        </w:trPr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R&amp;D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Procurement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Manufacturing</w:t>
            </w:r>
          </w:p>
        </w:tc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7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835"/>
        <w:gridCol w:w="1320"/>
        <w:gridCol w:w="1620"/>
        <w:gridCol w:w="2490"/>
        <w:tblGridChange w:id="0">
          <w:tblGrid>
            <w:gridCol w:w="1005"/>
            <w:gridCol w:w="2835"/>
            <w:gridCol w:w="1320"/>
            <w:gridCol w:w="1620"/>
            <w:gridCol w:w="249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Number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Opportunity Statement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Level of Likelihood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Level of Consequence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rtl w:val="0"/>
              </w:rPr>
              <w:t xml:space="preserve">Circumstances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Automated seed planting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User does not have to manually start the growing cycle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31f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20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