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afqw737a14ps" w:id="0"/>
      <w:bookmarkEnd w:id="0"/>
      <w:hyperlink r:id="rId6">
        <w:r w:rsidDel="00000000" w:rsidR="00000000" w:rsidRPr="00000000">
          <w:rPr>
            <w:color w:val="1155cc"/>
            <w:u w:val="single"/>
            <w:rtl w:val="0"/>
          </w:rPr>
          <w:t xml:space="preserve">Johnny Seeds</w:t>
        </w:r>
      </w:hyperlink>
      <w:r w:rsidDel="00000000" w:rsidR="00000000" w:rsidRPr="00000000">
        <w:rPr>
          <w:rtl w:val="0"/>
        </w:rPr>
      </w:r>
    </w:p>
    <w:p w:rsidR="00000000" w:rsidDel="00000000" w:rsidP="00000000" w:rsidRDefault="00000000" w:rsidRPr="00000000" w14:paraId="00000002">
      <w:pPr>
        <w:rPr>
          <w:b w:val="1"/>
          <w:sz w:val="28"/>
          <w:szCs w:val="28"/>
        </w:rPr>
      </w:pPr>
      <w:r w:rsidDel="00000000" w:rsidR="00000000" w:rsidRPr="00000000">
        <w:rPr>
          <w:b w:val="1"/>
          <w:sz w:val="28"/>
          <w:szCs w:val="28"/>
          <w:rtl w:val="0"/>
        </w:rPr>
        <w:t xml:space="preserve">Growing Microgreens Indoors or Under Cover</w:t>
      </w:r>
    </w:p>
    <w:p w:rsidR="00000000" w:rsidDel="00000000" w:rsidP="00000000" w:rsidRDefault="00000000" w:rsidRPr="00000000" w14:paraId="00000003">
      <w:pPr>
        <w:numPr>
          <w:ilvl w:val="0"/>
          <w:numId w:val="3"/>
        </w:numPr>
        <w:pBdr>
          <w:bottom w:color="auto" w:space="5" w:sz="0" w:val="none"/>
        </w:pBdr>
        <w:spacing w:after="0" w:afterAutospacing="0" w:before="200" w:lineRule="auto"/>
        <w:ind w:left="720" w:hanging="360"/>
      </w:pPr>
      <w:r w:rsidDel="00000000" w:rsidR="00000000" w:rsidRPr="00000000">
        <w:rPr>
          <w:rFonts w:ascii="Merriweather" w:cs="Merriweather" w:eastAsia="Merriweather" w:hAnsi="Merriweather"/>
          <w:sz w:val="20"/>
          <w:szCs w:val="20"/>
          <w:rtl w:val="0"/>
        </w:rPr>
        <w:t xml:space="preserve">Growing medium. We recommend a </w:t>
      </w:r>
      <w:hyperlink r:id="rId7">
        <w:r w:rsidDel="00000000" w:rsidR="00000000" w:rsidRPr="00000000">
          <w:rPr>
            <w:rFonts w:ascii="Merriweather" w:cs="Merriweather" w:eastAsia="Merriweather" w:hAnsi="Merriweather"/>
            <w:color w:val="709a41"/>
            <w:sz w:val="20"/>
            <w:szCs w:val="20"/>
            <w:rtl w:val="0"/>
          </w:rPr>
          <w:t xml:space="preserve">soilless mix</w:t>
        </w:r>
      </w:hyperlink>
      <w:r w:rsidDel="00000000" w:rsidR="00000000" w:rsidRPr="00000000">
        <w:rPr>
          <w:rFonts w:ascii="Merriweather" w:cs="Merriweather" w:eastAsia="Merriweather" w:hAnsi="Merriweather"/>
          <w:sz w:val="20"/>
          <w:szCs w:val="20"/>
          <w:rtl w:val="0"/>
        </w:rPr>
        <w:t xml:space="preserve"> as the best growing medium for microgreens because any potting mix that includes compost or soil can increase the risk of soilborne disease. For this reason, the best soil for microgreens is actually not soil at all. In addition to soilless mixes, other types of growing media, such as foam sheets or woven textiles, are also available on the market.</w:t>
      </w:r>
    </w:p>
    <w:p w:rsidR="00000000" w:rsidDel="00000000" w:rsidP="00000000" w:rsidRDefault="00000000" w:rsidRPr="00000000" w14:paraId="00000004">
      <w:pPr>
        <w:numPr>
          <w:ilvl w:val="0"/>
          <w:numId w:val="3"/>
        </w:numPr>
        <w:pBdr>
          <w:bottom w:color="auto" w:space="5" w:sz="0" w:val="none"/>
        </w:pBdr>
        <w:spacing w:after="0" w:afterAutospacing="0" w:before="0" w:beforeAutospacing="0" w:lineRule="auto"/>
        <w:ind w:left="720" w:hanging="360"/>
      </w:pPr>
      <w:r w:rsidDel="00000000" w:rsidR="00000000" w:rsidRPr="00000000">
        <w:rPr>
          <w:rFonts w:ascii="Merriweather" w:cs="Merriweather" w:eastAsia="Merriweather" w:hAnsi="Merriweather"/>
          <w:sz w:val="20"/>
          <w:szCs w:val="20"/>
          <w:rtl w:val="0"/>
        </w:rPr>
        <w:t xml:space="preserve">Microgreen </w:t>
      </w:r>
      <w:hyperlink r:id="rId8">
        <w:r w:rsidDel="00000000" w:rsidR="00000000" w:rsidRPr="00000000">
          <w:rPr>
            <w:rFonts w:ascii="Merriweather" w:cs="Merriweather" w:eastAsia="Merriweather" w:hAnsi="Merriweather"/>
            <w:color w:val="709a41"/>
            <w:sz w:val="20"/>
            <w:szCs w:val="20"/>
            <w:rtl w:val="0"/>
          </w:rPr>
          <w:t xml:space="preserve">trays</w:t>
        </w:r>
      </w:hyperlink>
      <w:r w:rsidDel="00000000" w:rsidR="00000000" w:rsidRPr="00000000">
        <w:rPr>
          <w:rFonts w:ascii="Merriweather" w:cs="Merriweather" w:eastAsia="Merriweather" w:hAnsi="Merriweather"/>
          <w:sz w:val="20"/>
          <w:szCs w:val="20"/>
          <w:rtl w:val="0"/>
        </w:rPr>
        <w:t xml:space="preserve">. Microgreens are often sown into standard 1020 flats or 20-row seed flats filled with a light, sterile, soilless mix to a depth of 1½–2".</w:t>
      </w:r>
    </w:p>
    <w:p w:rsidR="00000000" w:rsidDel="00000000" w:rsidP="00000000" w:rsidRDefault="00000000" w:rsidRPr="00000000" w14:paraId="00000005">
      <w:pPr>
        <w:numPr>
          <w:ilvl w:val="1"/>
          <w:numId w:val="3"/>
        </w:numPr>
        <w:pBdr>
          <w:bottom w:color="auto" w:space="5" w:sz="0" w:val="none"/>
        </w:pBdr>
        <w:spacing w:after="0" w:afterAutospacing="0" w:before="0" w:beforeAutospacing="0" w:lineRule="auto"/>
        <w:ind w:left="1440" w:hanging="36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1020 flats- size of trays used to grow microgreens</w:t>
      </w:r>
    </w:p>
    <w:p w:rsidR="00000000" w:rsidDel="00000000" w:rsidP="00000000" w:rsidRDefault="00000000" w:rsidRPr="00000000" w14:paraId="00000006">
      <w:pPr>
        <w:numPr>
          <w:ilvl w:val="2"/>
          <w:numId w:val="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00" w:lineRule="auto"/>
        <w:ind w:left="2160" w:hanging="360"/>
        <w:rPr>
          <w:color w:val="555555"/>
          <w:sz w:val="21"/>
          <w:szCs w:val="21"/>
        </w:rPr>
      </w:pPr>
      <w:r w:rsidDel="00000000" w:rsidR="00000000" w:rsidRPr="00000000">
        <w:rPr>
          <w:color w:val="555555"/>
          <w:sz w:val="21"/>
          <w:szCs w:val="21"/>
          <w:rtl w:val="0"/>
        </w:rPr>
        <w:t xml:space="preserve">10.94" W x 21.44" L x 2.44" D</w:t>
      </w:r>
      <w:r w:rsidDel="00000000" w:rsidR="00000000" w:rsidRPr="00000000">
        <w:rPr>
          <w:rtl w:val="0"/>
        </w:rPr>
      </w:r>
    </w:p>
    <w:p w:rsidR="00000000" w:rsidDel="00000000" w:rsidP="00000000" w:rsidRDefault="00000000" w:rsidRPr="00000000" w14:paraId="00000007">
      <w:pPr>
        <w:numPr>
          <w:ilvl w:val="0"/>
          <w:numId w:val="3"/>
        </w:numPr>
        <w:pBdr>
          <w:bottom w:color="auto" w:space="5" w:sz="0" w:val="none"/>
        </w:pBdr>
        <w:spacing w:after="0" w:afterAutospacing="0" w:before="0" w:beforeAutospacing="0" w:lineRule="auto"/>
        <w:ind w:left="720" w:hanging="360"/>
      </w:pPr>
      <w:r w:rsidDel="00000000" w:rsidR="00000000" w:rsidRPr="00000000">
        <w:rPr>
          <w:rFonts w:ascii="Merriweather" w:cs="Merriweather" w:eastAsia="Merriweather" w:hAnsi="Merriweather"/>
          <w:sz w:val="20"/>
          <w:szCs w:val="20"/>
          <w:rtl w:val="0"/>
        </w:rPr>
        <w:t xml:space="preserve">Tray covers. Options for covering the seeds after sowing include paper towels, vermiculite, </w:t>
      </w:r>
      <w:hyperlink r:id="rId9">
        <w:r w:rsidDel="00000000" w:rsidR="00000000" w:rsidRPr="00000000">
          <w:rPr>
            <w:rFonts w:ascii="Merriweather" w:cs="Merriweather" w:eastAsia="Merriweather" w:hAnsi="Merriweather"/>
            <w:color w:val="709a41"/>
            <w:sz w:val="20"/>
            <w:szCs w:val="20"/>
            <w:rtl w:val="0"/>
          </w:rPr>
          <w:t xml:space="preserve">domed lids</w:t>
        </w:r>
      </w:hyperlink>
      <w:r w:rsidDel="00000000" w:rsidR="00000000" w:rsidRPr="00000000">
        <w:rPr>
          <w:rFonts w:ascii="Merriweather" w:cs="Merriweather" w:eastAsia="Merriweather" w:hAnsi="Merriweather"/>
          <w:sz w:val="20"/>
          <w:szCs w:val="20"/>
          <w:rtl w:val="0"/>
        </w:rPr>
        <w:t xml:space="preserve">, or white plastic trays.</w:t>
      </w:r>
    </w:p>
    <w:p w:rsidR="00000000" w:rsidDel="00000000" w:rsidP="00000000" w:rsidRDefault="00000000" w:rsidRPr="00000000" w14:paraId="00000008">
      <w:pPr>
        <w:numPr>
          <w:ilvl w:val="0"/>
          <w:numId w:val="3"/>
        </w:numPr>
        <w:pBdr>
          <w:bottom w:color="auto" w:space="5" w:sz="0" w:val="none"/>
        </w:pBdr>
        <w:spacing w:after="0" w:afterAutospacing="0" w:before="0" w:beforeAutospacing="0" w:lineRule="auto"/>
        <w:ind w:left="720" w:hanging="360"/>
      </w:pPr>
      <w:r w:rsidDel="00000000" w:rsidR="00000000" w:rsidRPr="00000000">
        <w:rPr>
          <w:rFonts w:ascii="Merriweather" w:cs="Merriweather" w:eastAsia="Merriweather" w:hAnsi="Merriweather"/>
          <w:sz w:val="20"/>
          <w:szCs w:val="20"/>
          <w:rtl w:val="0"/>
        </w:rPr>
        <w:t xml:space="preserve">Heat mats. Available in a range of sizes and materials, with daisy-chaining, timer, and monitoring features, </w:t>
      </w:r>
      <w:hyperlink r:id="rId10">
        <w:r w:rsidDel="00000000" w:rsidR="00000000" w:rsidRPr="00000000">
          <w:rPr>
            <w:rFonts w:ascii="Merriweather" w:cs="Merriweather" w:eastAsia="Merriweather" w:hAnsi="Merriweather"/>
            <w:color w:val="709a41"/>
            <w:sz w:val="20"/>
            <w:szCs w:val="20"/>
            <w:rtl w:val="0"/>
          </w:rPr>
          <w:t xml:space="preserve">heat mats</w:t>
        </w:r>
      </w:hyperlink>
      <w:r w:rsidDel="00000000" w:rsidR="00000000" w:rsidRPr="00000000">
        <w:rPr>
          <w:rFonts w:ascii="Merriweather" w:cs="Merriweather" w:eastAsia="Merriweather" w:hAnsi="Merriweather"/>
          <w:sz w:val="20"/>
          <w:szCs w:val="20"/>
          <w:rtl w:val="0"/>
        </w:rPr>
        <w:t xml:space="preserve"> can help provide consistent root-zone temperatures.</w:t>
      </w:r>
    </w:p>
    <w:p w:rsidR="00000000" w:rsidDel="00000000" w:rsidP="00000000" w:rsidRDefault="00000000" w:rsidRPr="00000000" w14:paraId="00000009">
      <w:pPr>
        <w:numPr>
          <w:ilvl w:val="0"/>
          <w:numId w:val="3"/>
        </w:numPr>
        <w:pBdr>
          <w:bottom w:color="auto" w:space="5" w:sz="0" w:val="none"/>
        </w:pBdr>
        <w:spacing w:after="0" w:afterAutospacing="0" w:before="0" w:beforeAutospacing="0" w:lineRule="auto"/>
        <w:ind w:left="720" w:hanging="360"/>
      </w:pPr>
      <w:r w:rsidDel="00000000" w:rsidR="00000000" w:rsidRPr="00000000">
        <w:rPr>
          <w:rtl w:val="0"/>
        </w:rPr>
      </w:r>
    </w:p>
    <w:p w:rsidR="00000000" w:rsidDel="00000000" w:rsidP="00000000" w:rsidRDefault="00000000" w:rsidRPr="00000000" w14:paraId="0000000A">
      <w:pPr>
        <w:numPr>
          <w:ilvl w:val="0"/>
          <w:numId w:val="3"/>
        </w:numPr>
        <w:pBdr>
          <w:bottom w:color="auto" w:space="5" w:sz="0" w:val="none"/>
        </w:pBdr>
        <w:spacing w:after="0" w:afterAutospacing="0" w:before="0" w:beforeAutospacing="0" w:lineRule="auto"/>
        <w:ind w:left="720" w:hanging="360"/>
      </w:pPr>
      <w:r w:rsidDel="00000000" w:rsidR="00000000" w:rsidRPr="00000000">
        <w:rPr>
          <w:rFonts w:ascii="Merriweather" w:cs="Merriweather" w:eastAsia="Merriweather" w:hAnsi="Merriweather"/>
          <w:sz w:val="20"/>
          <w:szCs w:val="20"/>
          <w:rtl w:val="0"/>
        </w:rPr>
        <w:t xml:space="preserve">Circulation fans. Adequate ventilation is essential for disease prevention.</w:t>
      </w:r>
    </w:p>
    <w:p w:rsidR="00000000" w:rsidDel="00000000" w:rsidP="00000000" w:rsidRDefault="00000000" w:rsidRPr="00000000" w14:paraId="0000000B">
      <w:pPr>
        <w:numPr>
          <w:ilvl w:val="0"/>
          <w:numId w:val="3"/>
        </w:numPr>
        <w:pBdr>
          <w:bottom w:color="auto" w:space="5" w:sz="0" w:val="none"/>
        </w:pBdr>
        <w:spacing w:before="0" w:beforeAutospacing="0" w:lineRule="auto"/>
        <w:ind w:left="720" w:hanging="360"/>
      </w:pPr>
      <w:r w:rsidDel="00000000" w:rsidR="00000000" w:rsidRPr="00000000">
        <w:rPr>
          <w:rFonts w:ascii="Merriweather" w:cs="Merriweather" w:eastAsia="Merriweather" w:hAnsi="Merriweather"/>
          <w:sz w:val="20"/>
          <w:szCs w:val="20"/>
          <w:rtl w:val="0"/>
        </w:rPr>
        <w:t xml:space="preserve">Hanging benches. Raised platforms, tables, or </w:t>
      </w:r>
      <w:hyperlink r:id="rId11">
        <w:r w:rsidDel="00000000" w:rsidR="00000000" w:rsidRPr="00000000">
          <w:rPr>
            <w:rFonts w:ascii="Merriweather" w:cs="Merriweather" w:eastAsia="Merriweather" w:hAnsi="Merriweather"/>
            <w:color w:val="709a41"/>
            <w:sz w:val="20"/>
            <w:szCs w:val="20"/>
            <w:rtl w:val="0"/>
          </w:rPr>
          <w:t xml:space="preserve">hanging benches</w:t>
        </w:r>
      </w:hyperlink>
      <w:r w:rsidDel="00000000" w:rsidR="00000000" w:rsidRPr="00000000">
        <w:rPr>
          <w:rFonts w:ascii="Merriweather" w:cs="Merriweather" w:eastAsia="Merriweather" w:hAnsi="Merriweather"/>
          <w:sz w:val="20"/>
          <w:szCs w:val="20"/>
          <w:rtl w:val="0"/>
        </w:rPr>
        <w:t xml:space="preserve"> help keep plants safe and provide for ergonomics.</w:t>
      </w:r>
    </w:p>
    <w:p w:rsidR="00000000" w:rsidDel="00000000" w:rsidP="00000000" w:rsidRDefault="00000000" w:rsidRPr="00000000" w14:paraId="0000000C">
      <w:pPr>
        <w:spacing w:after="200" w:before="20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With their short crop cycles and minimal to no fertility requirements, microgreens are an excellent crop for hydroponic culture. See </w:t>
      </w:r>
      <w:hyperlink r:id="rId12">
        <w:r w:rsidDel="00000000" w:rsidR="00000000" w:rsidRPr="00000000">
          <w:rPr>
            <w:rFonts w:ascii="Merriweather" w:cs="Merriweather" w:eastAsia="Merriweather" w:hAnsi="Merriweather"/>
            <w:color w:val="709a41"/>
            <w:sz w:val="20"/>
            <w:szCs w:val="20"/>
            <w:rtl w:val="0"/>
          </w:rPr>
          <w:t xml:space="preserve">Introduction to Hydroponic Growing</w:t>
        </w:r>
      </w:hyperlink>
      <w:r w:rsidDel="00000000" w:rsidR="00000000" w:rsidRPr="00000000">
        <w:rPr>
          <w:rFonts w:ascii="Merriweather" w:cs="Merriweather" w:eastAsia="Merriweather" w:hAnsi="Merriweather"/>
          <w:sz w:val="20"/>
          <w:szCs w:val="20"/>
          <w:rtl w:val="0"/>
        </w:rPr>
        <w:t xml:space="preserve"> to learn more about systems and equipment for this production method.</w:t>
      </w:r>
    </w:p>
    <w:p w:rsidR="00000000" w:rsidDel="00000000" w:rsidP="00000000" w:rsidRDefault="00000000" w:rsidRPr="00000000" w14:paraId="0000000D">
      <w:pPr>
        <w:pStyle w:val="Heading1"/>
        <w:rPr/>
      </w:pPr>
      <w:bookmarkStart w:colFirst="0" w:colLast="0" w:name="_dhbr38dxdw51" w:id="1"/>
      <w:bookmarkEnd w:id="1"/>
      <w:r w:rsidDel="00000000" w:rsidR="00000000" w:rsidRPr="00000000">
        <w:rPr>
          <w:rtl w:val="0"/>
        </w:rPr>
        <w:t xml:space="preserve">Growing and Care</w:t>
      </w:r>
    </w:p>
    <w:p w:rsidR="00000000" w:rsidDel="00000000" w:rsidP="00000000" w:rsidRDefault="00000000" w:rsidRPr="00000000" w14:paraId="0000000E">
      <w:pPr>
        <w:pStyle w:val="Heading2"/>
        <w:rPr/>
      </w:pPr>
      <w:bookmarkStart w:colFirst="0" w:colLast="0" w:name="_ejcqj5leq9vw" w:id="2"/>
      <w:bookmarkEnd w:id="2"/>
      <w:r w:rsidDel="00000000" w:rsidR="00000000" w:rsidRPr="00000000">
        <w:rPr>
          <w:rtl w:val="0"/>
        </w:rPr>
        <w:t xml:space="preserve">Temperature</w:t>
      </w:r>
    </w:p>
    <w:p w:rsidR="00000000" w:rsidDel="00000000" w:rsidP="00000000" w:rsidRDefault="00000000" w:rsidRPr="00000000" w14:paraId="0000000F">
      <w:pPr>
        <w:rPr/>
      </w:pPr>
      <w:r w:rsidDel="00000000" w:rsidR="00000000" w:rsidRPr="00000000">
        <w:rPr>
          <w:rtl w:val="0"/>
        </w:rPr>
        <w:t xml:space="preserve">Growing Medium Temperature</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Ideal Temp for Germination and Growth dictated by  needs of specific plant</w:t>
      </w:r>
    </w:p>
    <w:p w:rsidR="00000000" w:rsidDel="00000000" w:rsidP="00000000" w:rsidRDefault="00000000" w:rsidRPr="00000000" w14:paraId="00000011">
      <w:pPr>
        <w:rPr/>
      </w:pPr>
      <w:r w:rsidDel="00000000" w:rsidR="00000000" w:rsidRPr="00000000">
        <w:rPr>
          <w:rtl w:val="0"/>
        </w:rPr>
        <w:t xml:space="preserve">Ambient Temperature</w:t>
      </w:r>
    </w:p>
    <w:p w:rsidR="00000000" w:rsidDel="00000000" w:rsidP="00000000" w:rsidRDefault="00000000" w:rsidRPr="00000000" w14:paraId="00000012">
      <w:pPr>
        <w:numPr>
          <w:ilvl w:val="0"/>
          <w:numId w:val="4"/>
        </w:numPr>
        <w:ind w:left="720" w:hanging="360"/>
        <w:rPr>
          <w:u w:val="none"/>
        </w:rPr>
      </w:pPr>
      <w:r w:rsidDel="00000000" w:rsidR="00000000" w:rsidRPr="00000000">
        <w:rPr>
          <w:rtl w:val="0"/>
        </w:rPr>
        <w:t xml:space="preserve">Also vary with variety of plant</w:t>
      </w:r>
    </w:p>
    <w:p w:rsidR="00000000" w:rsidDel="00000000" w:rsidP="00000000" w:rsidRDefault="00000000" w:rsidRPr="00000000" w14:paraId="00000013">
      <w:pPr>
        <w:numPr>
          <w:ilvl w:val="0"/>
          <w:numId w:val="4"/>
        </w:numPr>
        <w:ind w:left="720" w:hanging="360"/>
        <w:rPr>
          <w:u w:val="none"/>
        </w:rPr>
      </w:pPr>
      <w:r w:rsidDel="00000000" w:rsidR="00000000" w:rsidRPr="00000000">
        <w:rPr>
          <w:rtl w:val="0"/>
        </w:rPr>
        <w:t xml:space="preserve">General Range 65-75F/18-24C</w:t>
      </w:r>
    </w:p>
    <w:p w:rsidR="00000000" w:rsidDel="00000000" w:rsidP="00000000" w:rsidRDefault="00000000" w:rsidRPr="00000000" w14:paraId="00000014">
      <w:pPr>
        <w:numPr>
          <w:ilvl w:val="0"/>
          <w:numId w:val="4"/>
        </w:numPr>
        <w:ind w:left="720" w:hanging="360"/>
        <w:rPr>
          <w:u w:val="none"/>
        </w:rPr>
      </w:pPr>
      <w:r w:rsidDel="00000000" w:rsidR="00000000" w:rsidRPr="00000000">
        <w:rPr>
          <w:rtl w:val="0"/>
        </w:rPr>
        <w:t xml:space="preserve">Temps above 75F/24C increase disease pressure and inhibit germination in some varieties</w:t>
      </w:r>
    </w:p>
    <w:p w:rsidR="00000000" w:rsidDel="00000000" w:rsidP="00000000" w:rsidRDefault="00000000" w:rsidRPr="00000000" w14:paraId="00000015">
      <w:pPr>
        <w:numPr>
          <w:ilvl w:val="0"/>
          <w:numId w:val="4"/>
        </w:numPr>
        <w:ind w:left="720" w:hanging="360"/>
        <w:rPr>
          <w:u w:val="none"/>
        </w:rPr>
      </w:pPr>
      <w:r w:rsidDel="00000000" w:rsidR="00000000" w:rsidRPr="00000000">
        <w:rPr>
          <w:rFonts w:ascii="Merriweather" w:cs="Merriweather" w:eastAsia="Merriweather" w:hAnsi="Merriweather"/>
          <w:sz w:val="20"/>
          <w:szCs w:val="20"/>
          <w:rtl w:val="0"/>
        </w:rPr>
        <w:t xml:space="preserve">Moderate nighttime dips are acceptable, but steady, higher temperatures encourage full-speed production.</w:t>
      </w:r>
    </w:p>
    <w:p w:rsidR="00000000" w:rsidDel="00000000" w:rsidP="00000000" w:rsidRDefault="00000000" w:rsidRPr="00000000" w14:paraId="00000016">
      <w:pPr>
        <w:pStyle w:val="Heading2"/>
        <w:rPr/>
      </w:pPr>
      <w:bookmarkStart w:colFirst="0" w:colLast="0" w:name="_gkuwplbvfobn" w:id="3"/>
      <w:bookmarkEnd w:id="3"/>
      <w:r w:rsidDel="00000000" w:rsidR="00000000" w:rsidRPr="00000000">
        <w:rPr>
          <w:rtl w:val="0"/>
        </w:rPr>
        <w:t xml:space="preserve">Humidity/Circulation</w:t>
      </w:r>
    </w:p>
    <w:p w:rsidR="00000000" w:rsidDel="00000000" w:rsidP="00000000" w:rsidRDefault="00000000" w:rsidRPr="00000000" w14:paraId="00000017">
      <w:pPr>
        <w:numPr>
          <w:ilvl w:val="0"/>
          <w:numId w:val="5"/>
        </w:numPr>
        <w:ind w:left="720" w:hanging="360"/>
        <w:rPr>
          <w:u w:val="none"/>
        </w:rPr>
      </w:pPr>
      <w:r w:rsidDel="00000000" w:rsidR="00000000" w:rsidRPr="00000000">
        <w:rPr>
          <w:rtl w:val="0"/>
        </w:rPr>
        <w:t xml:space="preserve">Use fans for air circulation to prevent pest/disease</w:t>
      </w:r>
    </w:p>
    <w:p w:rsidR="00000000" w:rsidDel="00000000" w:rsidP="00000000" w:rsidRDefault="00000000" w:rsidRPr="00000000" w14:paraId="00000018">
      <w:pPr>
        <w:numPr>
          <w:ilvl w:val="0"/>
          <w:numId w:val="5"/>
        </w:numPr>
        <w:ind w:left="720" w:hanging="360"/>
        <w:rPr>
          <w:u w:val="none"/>
        </w:rPr>
      </w:pPr>
      <w:r w:rsidDel="00000000" w:rsidR="00000000" w:rsidRPr="00000000">
        <w:rPr>
          <w:rtl w:val="0"/>
        </w:rPr>
        <w:t xml:space="preserve">Flats kept moist but not overly wet</w:t>
      </w:r>
    </w:p>
    <w:p w:rsidR="00000000" w:rsidDel="00000000" w:rsidP="00000000" w:rsidRDefault="00000000" w:rsidRPr="00000000" w14:paraId="00000019">
      <w:pPr>
        <w:pStyle w:val="Heading2"/>
        <w:rPr/>
      </w:pPr>
      <w:bookmarkStart w:colFirst="0" w:colLast="0" w:name="_8rv5er3g83ff" w:id="4"/>
      <w:bookmarkEnd w:id="4"/>
      <w:r w:rsidDel="00000000" w:rsidR="00000000" w:rsidRPr="00000000">
        <w:rPr>
          <w:rtl w:val="0"/>
        </w:rPr>
        <w:t xml:space="preserve">Fertility</w:t>
      </w:r>
    </w:p>
    <w:p w:rsidR="00000000" w:rsidDel="00000000" w:rsidP="00000000" w:rsidRDefault="00000000" w:rsidRPr="00000000" w14:paraId="0000001A">
      <w:pPr>
        <w:numPr>
          <w:ilvl w:val="0"/>
          <w:numId w:val="7"/>
        </w:numPr>
        <w:ind w:left="720" w:hanging="360"/>
        <w:rPr>
          <w:u w:val="none"/>
        </w:rPr>
      </w:pPr>
      <w:r w:rsidDel="00000000" w:rsidR="00000000" w:rsidRPr="00000000">
        <w:rPr>
          <w:rtl w:val="0"/>
        </w:rPr>
        <w:t xml:space="preserve">Whether or not to use fertilizer depends on crop and growing conditions</w:t>
      </w:r>
    </w:p>
    <w:p w:rsidR="00000000" w:rsidDel="00000000" w:rsidP="00000000" w:rsidRDefault="00000000" w:rsidRPr="00000000" w14:paraId="0000001B">
      <w:pPr>
        <w:numPr>
          <w:ilvl w:val="0"/>
          <w:numId w:val="7"/>
        </w:numPr>
        <w:ind w:left="720" w:hanging="360"/>
        <w:rPr>
          <w:u w:val="none"/>
        </w:rPr>
      </w:pPr>
      <w:r w:rsidDel="00000000" w:rsidR="00000000" w:rsidRPr="00000000">
        <w:rPr>
          <w:rtl w:val="0"/>
        </w:rPr>
        <w:t xml:space="preserve">Some evidence suggests fertilizing needed to prevent yellowing of microgreens</w:t>
      </w:r>
    </w:p>
    <w:p w:rsidR="00000000" w:rsidDel="00000000" w:rsidP="00000000" w:rsidRDefault="00000000" w:rsidRPr="00000000" w14:paraId="0000001C">
      <w:pPr>
        <w:numPr>
          <w:ilvl w:val="1"/>
          <w:numId w:val="7"/>
        </w:numPr>
        <w:ind w:left="1440" w:hanging="360"/>
        <w:rPr>
          <w:u w:val="none"/>
        </w:rPr>
      </w:pPr>
      <w:r w:rsidDel="00000000" w:rsidR="00000000" w:rsidRPr="00000000">
        <w:rPr>
          <w:rtl w:val="0"/>
        </w:rPr>
        <w:t xml:space="preserve">(Further research here)</w:t>
      </w:r>
    </w:p>
    <w:p w:rsidR="00000000" w:rsidDel="00000000" w:rsidP="00000000" w:rsidRDefault="00000000" w:rsidRPr="00000000" w14:paraId="0000001D">
      <w:pPr>
        <w:numPr>
          <w:ilvl w:val="0"/>
          <w:numId w:val="7"/>
        </w:numPr>
        <w:ind w:left="720" w:hanging="360"/>
        <w:rPr>
          <w:u w:val="none"/>
        </w:rPr>
      </w:pPr>
      <w:r w:rsidDel="00000000" w:rsidR="00000000" w:rsidRPr="00000000">
        <w:rPr>
          <w:rtl w:val="0"/>
        </w:rPr>
        <w:t xml:space="preserve">Use dilute fertilizer solution for slow growing plants or when growing media (ex:foam sheets) have no inherent nutrient value</w:t>
      </w:r>
    </w:p>
    <w:p w:rsidR="00000000" w:rsidDel="00000000" w:rsidP="00000000" w:rsidRDefault="00000000" w:rsidRPr="00000000" w14:paraId="0000001E">
      <w:pPr>
        <w:numPr>
          <w:ilvl w:val="0"/>
          <w:numId w:val="7"/>
        </w:numPr>
        <w:ind w:left="720" w:hanging="360"/>
        <w:rPr>
          <w:u w:val="none"/>
        </w:rPr>
      </w:pPr>
      <w:r w:rsidDel="00000000" w:rsidR="00000000" w:rsidRPr="00000000">
        <w:rPr>
          <w:rtl w:val="0"/>
        </w:rPr>
        <w:t xml:space="preserve">To fertilize, incorporate into medium before sowing</w:t>
      </w:r>
    </w:p>
    <w:p w:rsidR="00000000" w:rsidDel="00000000" w:rsidP="00000000" w:rsidRDefault="00000000" w:rsidRPr="00000000" w14:paraId="0000001F">
      <w:pPr>
        <w:numPr>
          <w:ilvl w:val="1"/>
          <w:numId w:val="7"/>
        </w:numPr>
        <w:ind w:left="1440" w:hanging="360"/>
        <w:rPr>
          <w:u w:val="none"/>
        </w:rPr>
      </w:pPr>
      <w:r w:rsidDel="00000000" w:rsidR="00000000" w:rsidRPr="00000000">
        <w:rPr>
          <w:rtl w:val="0"/>
        </w:rPr>
        <w:t xml:space="preserve">Or use soluble fertilizer in mister/bottom-feed water supply</w:t>
      </w:r>
    </w:p>
    <w:p w:rsidR="00000000" w:rsidDel="00000000" w:rsidP="00000000" w:rsidRDefault="00000000" w:rsidRPr="00000000" w14:paraId="00000020">
      <w:pPr>
        <w:pStyle w:val="Heading2"/>
        <w:rPr/>
      </w:pPr>
      <w:bookmarkStart w:colFirst="0" w:colLast="0" w:name="_1m9aqdeq0mv5" w:id="5"/>
      <w:bookmarkEnd w:id="5"/>
      <w:r w:rsidDel="00000000" w:rsidR="00000000" w:rsidRPr="00000000">
        <w:rPr>
          <w:rtl w:val="0"/>
        </w:rPr>
        <w:t xml:space="preserve">Lighting</w:t>
      </w:r>
    </w:p>
    <w:p w:rsidR="00000000" w:rsidDel="00000000" w:rsidP="00000000" w:rsidRDefault="00000000" w:rsidRPr="00000000" w14:paraId="00000021">
      <w:pPr>
        <w:rPr/>
      </w:pPr>
      <w:hyperlink r:id="rId13">
        <w:r w:rsidDel="00000000" w:rsidR="00000000" w:rsidRPr="00000000">
          <w:rPr>
            <w:color w:val="1155cc"/>
            <w:u w:val="single"/>
            <w:rtl w:val="0"/>
          </w:rPr>
          <w:t xml:space="preserve">https://www.waveformlighting.com/horticulture/convert-lux-to-ppfd-online-calculator</w:t>
        </w:r>
      </w:hyperlink>
      <w:r w:rsidDel="00000000" w:rsidR="00000000" w:rsidRPr="00000000">
        <w:rPr>
          <w:rtl w:val="0"/>
        </w:rPr>
      </w:r>
    </w:p>
    <w:p w:rsidR="00000000" w:rsidDel="00000000" w:rsidP="00000000" w:rsidRDefault="00000000" w:rsidRPr="00000000" w14:paraId="00000022">
      <w:pPr>
        <w:rPr/>
      </w:pPr>
      <w:hyperlink r:id="rId14">
        <w:r w:rsidDel="00000000" w:rsidR="00000000" w:rsidRPr="00000000">
          <w:rPr>
            <w:color w:val="1155cc"/>
            <w:u w:val="single"/>
            <w:rtl w:val="0"/>
          </w:rPr>
          <w:t xml:space="preserve">https://learnsativa.org/lux-to-par-calculator/</w:t>
        </w:r>
      </w:hyperlink>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 Lux to PPFD converters. Both give same result. 1ppfd=11.27Lux. For Red/blue combo</w:t>
      </w:r>
    </w:p>
    <w:p w:rsidR="00000000" w:rsidDel="00000000" w:rsidP="00000000" w:rsidRDefault="00000000" w:rsidRPr="00000000" w14:paraId="00000024">
      <w:pPr>
        <w:rPr/>
      </w:pPr>
      <w:hyperlink r:id="rId15">
        <w:r w:rsidDel="00000000" w:rsidR="00000000" w:rsidRPr="00000000">
          <w:rPr>
            <w:color w:val="1155cc"/>
            <w:u w:val="single"/>
            <w:rtl w:val="0"/>
          </w:rPr>
          <w:t xml:space="preserve">DAILY LIGHT INTEGRAL AND LIGHT QUALITY FROM SOLE-SOURCE LIGHT EMITTING DIODES IMPACT GROWTH, MORPHOLOGY, AND ANTHOCYANIN CONTENT OF BRASSICA MICROGREENS </w:t>
        </w:r>
      </w:hyperlink>
      <w:r w:rsidDel="00000000" w:rsidR="00000000" w:rsidRPr="00000000">
        <w:rPr>
          <w:rtl w:val="0"/>
        </w:rPr>
      </w:r>
    </w:p>
    <w:p w:rsidR="00000000" w:rsidDel="00000000" w:rsidP="00000000" w:rsidRDefault="00000000" w:rsidRPr="00000000" w14:paraId="00000025">
      <w:pPr>
        <w:rPr>
          <w:rFonts w:ascii="Roboto" w:cs="Roboto" w:eastAsia="Roboto" w:hAnsi="Roboto"/>
          <w:b w:val="1"/>
          <w:color w:val="222222"/>
          <w:highlight w:val="white"/>
        </w:rPr>
      </w:pPr>
      <w:r w:rsidDel="00000000" w:rsidR="00000000" w:rsidRPr="00000000">
        <w:rPr>
          <w:rFonts w:ascii="Roboto" w:cs="Roboto" w:eastAsia="Roboto" w:hAnsi="Roboto"/>
          <w:b w:val="1"/>
          <w:color w:val="222222"/>
          <w:highlight w:val="white"/>
          <w:rtl w:val="0"/>
        </w:rPr>
        <w:t xml:space="preserve">Definitions:</w:t>
      </w:r>
    </w:p>
    <w:p w:rsidR="00000000" w:rsidDel="00000000" w:rsidP="00000000" w:rsidRDefault="00000000" w:rsidRPr="00000000" w14:paraId="00000026">
      <w:pPr>
        <w:numPr>
          <w:ilvl w:val="0"/>
          <w:numId w:val="2"/>
        </w:numPr>
        <w:ind w:left="720" w:hanging="360"/>
        <w:rPr>
          <w:rFonts w:ascii="Roboto" w:cs="Roboto" w:eastAsia="Roboto" w:hAnsi="Roboto"/>
          <w:color w:val="222222"/>
          <w:sz w:val="24"/>
          <w:szCs w:val="24"/>
          <w:highlight w:val="white"/>
          <w:u w:val="none"/>
        </w:rPr>
      </w:pPr>
      <w:r w:rsidDel="00000000" w:rsidR="00000000" w:rsidRPr="00000000">
        <w:rPr>
          <w:rFonts w:ascii="Roboto" w:cs="Roboto" w:eastAsia="Roboto" w:hAnsi="Roboto"/>
          <w:b w:val="1"/>
          <w:color w:val="222222"/>
          <w:sz w:val="20"/>
          <w:szCs w:val="20"/>
          <w:highlight w:val="white"/>
          <w:rtl w:val="0"/>
        </w:rPr>
        <w:t xml:space="preserve">Anthocyanins</w:t>
      </w:r>
      <w:r w:rsidDel="00000000" w:rsidR="00000000" w:rsidRPr="00000000">
        <w:rPr>
          <w:rFonts w:ascii="Roboto" w:cs="Roboto" w:eastAsia="Roboto" w:hAnsi="Roboto"/>
          <w:color w:val="222222"/>
          <w:sz w:val="20"/>
          <w:szCs w:val="20"/>
          <w:highlight w:val="white"/>
          <w:rtl w:val="0"/>
        </w:rPr>
        <w:t xml:space="preserve"> are a type of flavonoid, a class of compounds with antioxidant effects.</w:t>
      </w:r>
    </w:p>
    <w:p w:rsidR="00000000" w:rsidDel="00000000" w:rsidP="00000000" w:rsidRDefault="00000000" w:rsidRPr="00000000" w14:paraId="00000027">
      <w:pPr>
        <w:numPr>
          <w:ilvl w:val="0"/>
          <w:numId w:val="2"/>
        </w:numPr>
        <w:ind w:left="720" w:hanging="360"/>
        <w:rPr>
          <w:rFonts w:ascii="Roboto" w:cs="Roboto" w:eastAsia="Roboto" w:hAnsi="Roboto"/>
          <w:color w:val="222222"/>
          <w:sz w:val="20"/>
          <w:szCs w:val="20"/>
          <w:highlight w:val="white"/>
        </w:rPr>
      </w:pPr>
      <w:r w:rsidDel="00000000" w:rsidR="00000000" w:rsidRPr="00000000">
        <w:rPr>
          <w:b w:val="1"/>
          <w:color w:val="202122"/>
          <w:sz w:val="20"/>
          <w:szCs w:val="20"/>
          <w:highlight w:val="white"/>
          <w:rtl w:val="0"/>
        </w:rPr>
        <w:t xml:space="preserve">Daily light integral</w:t>
      </w:r>
      <w:r w:rsidDel="00000000" w:rsidR="00000000" w:rsidRPr="00000000">
        <w:rPr>
          <w:color w:val="202122"/>
          <w:sz w:val="20"/>
          <w:szCs w:val="20"/>
          <w:highlight w:val="white"/>
          <w:rtl w:val="0"/>
        </w:rPr>
        <w:t xml:space="preserve"> (DLI) describes the number of photosynthetically active photons (individual particles of light in the 400-700 nm range) that are delivered to a specific area over a 24-hour period</w:t>
      </w:r>
    </w:p>
    <w:p w:rsidR="00000000" w:rsidDel="00000000" w:rsidP="00000000" w:rsidRDefault="00000000" w:rsidRPr="00000000" w14:paraId="00000028">
      <w:pPr>
        <w:numPr>
          <w:ilvl w:val="0"/>
          <w:numId w:val="2"/>
        </w:numPr>
        <w:ind w:left="720" w:hanging="360"/>
        <w:rPr>
          <w:color w:val="202122"/>
          <w:sz w:val="20"/>
          <w:szCs w:val="20"/>
          <w:highlight w:val="white"/>
        </w:rPr>
      </w:pPr>
      <w:r w:rsidDel="00000000" w:rsidR="00000000" w:rsidRPr="00000000">
        <w:rPr>
          <w:rFonts w:ascii="Roboto" w:cs="Roboto" w:eastAsia="Roboto" w:hAnsi="Roboto"/>
          <w:b w:val="1"/>
          <w:color w:val="222222"/>
          <w:sz w:val="20"/>
          <w:szCs w:val="20"/>
          <w:highlight w:val="white"/>
          <w:rtl w:val="0"/>
        </w:rPr>
        <w:t xml:space="preserve">Total Photon Flux</w:t>
      </w:r>
      <w:r w:rsidDel="00000000" w:rsidR="00000000" w:rsidRPr="00000000">
        <w:rPr>
          <w:rFonts w:ascii="Roboto" w:cs="Roboto" w:eastAsia="Roboto" w:hAnsi="Roboto"/>
          <w:color w:val="222222"/>
          <w:sz w:val="20"/>
          <w:szCs w:val="20"/>
          <w:highlight w:val="white"/>
          <w:rtl w:val="0"/>
        </w:rPr>
        <w:t xml:space="preserve"> or </w:t>
      </w:r>
      <w:r w:rsidDel="00000000" w:rsidR="00000000" w:rsidRPr="00000000">
        <w:rPr>
          <w:rFonts w:ascii="Roboto" w:cs="Roboto" w:eastAsia="Roboto" w:hAnsi="Roboto"/>
          <w:b w:val="1"/>
          <w:color w:val="222222"/>
          <w:sz w:val="20"/>
          <w:szCs w:val="20"/>
          <w:highlight w:val="white"/>
          <w:rtl w:val="0"/>
        </w:rPr>
        <w:t xml:space="preserve">Photon Flux</w:t>
      </w:r>
      <w:r w:rsidDel="00000000" w:rsidR="00000000" w:rsidRPr="00000000">
        <w:rPr>
          <w:rFonts w:ascii="Roboto" w:cs="Roboto" w:eastAsia="Roboto" w:hAnsi="Roboto"/>
          <w:color w:val="222222"/>
          <w:sz w:val="20"/>
          <w:szCs w:val="20"/>
          <w:highlight w:val="white"/>
          <w:rtl w:val="0"/>
        </w:rPr>
        <w:t xml:space="preserve"> (PF) is a measurement of the </w:t>
      </w:r>
      <w:r w:rsidDel="00000000" w:rsidR="00000000" w:rsidRPr="00000000">
        <w:rPr>
          <w:rFonts w:ascii="Roboto" w:cs="Roboto" w:eastAsia="Roboto" w:hAnsi="Roboto"/>
          <w:b w:val="1"/>
          <w:color w:val="222222"/>
          <w:sz w:val="20"/>
          <w:szCs w:val="20"/>
          <w:highlight w:val="white"/>
          <w:rtl w:val="0"/>
        </w:rPr>
        <w:t xml:space="preserve">total</w:t>
      </w:r>
      <w:r w:rsidDel="00000000" w:rsidR="00000000" w:rsidRPr="00000000">
        <w:rPr>
          <w:rFonts w:ascii="Roboto" w:cs="Roboto" w:eastAsia="Roboto" w:hAnsi="Roboto"/>
          <w:color w:val="222222"/>
          <w:sz w:val="20"/>
          <w:szCs w:val="20"/>
          <w:highlight w:val="white"/>
          <w:rtl w:val="0"/>
        </w:rPr>
        <w:t xml:space="preserve"> number of </w:t>
      </w:r>
      <w:r w:rsidDel="00000000" w:rsidR="00000000" w:rsidRPr="00000000">
        <w:rPr>
          <w:rFonts w:ascii="Roboto" w:cs="Roboto" w:eastAsia="Roboto" w:hAnsi="Roboto"/>
          <w:b w:val="1"/>
          <w:color w:val="222222"/>
          <w:sz w:val="20"/>
          <w:szCs w:val="20"/>
          <w:highlight w:val="white"/>
          <w:rtl w:val="0"/>
        </w:rPr>
        <w:t xml:space="preserve">photons</w:t>
      </w:r>
      <w:r w:rsidDel="00000000" w:rsidR="00000000" w:rsidRPr="00000000">
        <w:rPr>
          <w:rFonts w:ascii="Roboto" w:cs="Roboto" w:eastAsia="Roboto" w:hAnsi="Roboto"/>
          <w:color w:val="222222"/>
          <w:sz w:val="20"/>
          <w:szCs w:val="20"/>
          <w:highlight w:val="white"/>
          <w:rtl w:val="0"/>
        </w:rPr>
        <w:t xml:space="preserve"> coming out of a light source per second.</w:t>
      </w:r>
      <w:r w:rsidDel="00000000" w:rsidR="00000000" w:rsidRPr="00000000">
        <w:rPr>
          <w:rtl w:val="0"/>
        </w:rPr>
      </w:r>
    </w:p>
    <w:p w:rsidR="00000000" w:rsidDel="00000000" w:rsidP="00000000" w:rsidRDefault="00000000" w:rsidRPr="00000000" w14:paraId="00000029">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2A">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Light quality profiles studied:</w:t>
        <w:br w:type="textWrapping"/>
        <w:t xml:space="preserve">R74:G18:B8</w:t>
      </w:r>
    </w:p>
    <w:p w:rsidR="00000000" w:rsidDel="00000000" w:rsidP="00000000" w:rsidRDefault="00000000" w:rsidRPr="00000000" w14:paraId="0000002B">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R87:B13</w:t>
      </w:r>
    </w:p>
    <w:p w:rsidR="00000000" w:rsidDel="00000000" w:rsidP="00000000" w:rsidRDefault="00000000" w:rsidRPr="00000000" w14:paraId="0000002C">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R84:FR7:B9</w:t>
      </w:r>
    </w:p>
    <w:p w:rsidR="00000000" w:rsidDel="00000000" w:rsidP="00000000" w:rsidRDefault="00000000" w:rsidRPr="00000000" w14:paraId="0000002D">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2E">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DLI Profiles studied:</w:t>
      </w:r>
    </w:p>
    <w:p w:rsidR="00000000" w:rsidDel="00000000" w:rsidP="00000000" w:rsidRDefault="00000000" w:rsidRPr="00000000" w14:paraId="0000002F">
      <w:pPr>
        <w:numPr>
          <w:ilvl w:val="0"/>
          <w:numId w:val="8"/>
        </w:numPr>
        <w:ind w:left="720" w:hanging="360"/>
        <w:rPr>
          <w:rFonts w:ascii="Roboto" w:cs="Roboto" w:eastAsia="Roboto" w:hAnsi="Roboto"/>
          <w:color w:val="222222"/>
          <w:sz w:val="24"/>
          <w:szCs w:val="24"/>
          <w:highlight w:val="white"/>
          <w:u w:val="none"/>
        </w:rPr>
      </w:pPr>
      <w:r w:rsidDel="00000000" w:rsidR="00000000" w:rsidRPr="00000000">
        <w:rPr>
          <w:rFonts w:ascii="Roboto" w:cs="Roboto" w:eastAsia="Roboto" w:hAnsi="Roboto"/>
          <w:color w:val="222222"/>
          <w:sz w:val="24"/>
          <w:szCs w:val="24"/>
          <w:highlight w:val="white"/>
          <w:rtl w:val="0"/>
        </w:rPr>
        <w:t xml:space="preserve">6/12/18  </w:t>
      </w:r>
    </w:p>
    <w:p w:rsidR="00000000" w:rsidDel="00000000" w:rsidP="00000000" w:rsidRDefault="00000000" w:rsidRPr="00000000" w14:paraId="00000030">
      <w:pPr>
        <w:numPr>
          <w:ilvl w:val="0"/>
          <w:numId w:val="8"/>
        </w:numPr>
        <w:ind w:left="720" w:hanging="360"/>
        <w:rPr>
          <w:rFonts w:ascii="Roboto" w:cs="Roboto" w:eastAsia="Roboto" w:hAnsi="Roboto"/>
          <w:color w:val="222222"/>
          <w:sz w:val="24"/>
          <w:szCs w:val="24"/>
          <w:highlight w:val="white"/>
          <w:u w:val="none"/>
        </w:rPr>
      </w:pPr>
      <w:r w:rsidDel="00000000" w:rsidR="00000000" w:rsidRPr="00000000">
        <w:rPr>
          <w:rFonts w:ascii="Roboto" w:cs="Roboto" w:eastAsia="Roboto" w:hAnsi="Roboto"/>
          <w:color w:val="222222"/>
          <w:sz w:val="24"/>
          <w:szCs w:val="24"/>
          <w:highlight w:val="white"/>
          <w:rtl w:val="0"/>
        </w:rPr>
        <w:t xml:space="preserve">TPF between 400-800nm</w:t>
      </w:r>
    </w:p>
    <w:p w:rsidR="00000000" w:rsidDel="00000000" w:rsidP="00000000" w:rsidRDefault="00000000" w:rsidRPr="00000000" w14:paraId="00000031">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Findings:</w:t>
        <w:br w:type="textWrapping"/>
        <w:t xml:space="preserve">“Regardless of light quality, as DLI increased from 6 to 18 mol·m–2 ·d–1 , hypocotyl length decreased and percent dry 77 77 weight increased for kohlrabi, mustard, and mizuna microgreens. ”</w:t>
      </w:r>
    </w:p>
    <w:p w:rsidR="00000000" w:rsidDel="00000000" w:rsidP="00000000" w:rsidRDefault="00000000" w:rsidRPr="00000000" w14:paraId="00000032">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33">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Results vary by species but in general Green light increases hypocotyl length. R and FR light decreases HL</w:t>
      </w:r>
    </w:p>
    <w:p w:rsidR="00000000" w:rsidDel="00000000" w:rsidP="00000000" w:rsidRDefault="00000000" w:rsidRPr="00000000" w14:paraId="00000034">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35">
      <w:pPr>
        <w:ind w:left="0" w:firstLine="0"/>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Anthocyanin content increases with higher DLI. Light quality only affected Anthocyanin content when green light was involved.  </w:t>
      </w:r>
    </w:p>
    <w:p w:rsidR="00000000" w:rsidDel="00000000" w:rsidP="00000000" w:rsidRDefault="00000000" w:rsidRPr="00000000" w14:paraId="00000036">
      <w:pPr>
        <w:ind w:left="0" w:firstLine="0"/>
        <w:rPr>
          <w:rFonts w:ascii="Roboto" w:cs="Roboto" w:eastAsia="Roboto" w:hAnsi="Roboto"/>
          <w:color w:val="222222"/>
          <w:sz w:val="20"/>
          <w:szCs w:val="20"/>
          <w:highlight w:val="white"/>
        </w:rPr>
      </w:pPr>
      <w:r w:rsidDel="00000000" w:rsidR="00000000" w:rsidRPr="00000000">
        <w:rPr>
          <w:rtl w:val="0"/>
        </w:rPr>
      </w:r>
    </w:p>
    <w:p w:rsidR="00000000" w:rsidDel="00000000" w:rsidP="00000000" w:rsidRDefault="00000000" w:rsidRPr="00000000" w14:paraId="00000037">
      <w:pPr>
        <w:ind w:left="0" w:firstLine="0"/>
        <w:rPr>
          <w:rFonts w:ascii="Roboto" w:cs="Roboto" w:eastAsia="Roboto" w:hAnsi="Roboto"/>
          <w:color w:val="222222"/>
          <w:sz w:val="20"/>
          <w:szCs w:val="20"/>
          <w:highlight w:val="white"/>
        </w:rPr>
      </w:pPr>
      <w:r w:rsidDel="00000000" w:rsidR="00000000" w:rsidRPr="00000000">
        <w:rPr>
          <w:rFonts w:ascii="Roboto" w:cs="Roboto" w:eastAsia="Roboto" w:hAnsi="Roboto"/>
          <w:color w:val="222222"/>
          <w:sz w:val="20"/>
          <w:szCs w:val="20"/>
          <w:highlight w:val="white"/>
          <w:rtl w:val="0"/>
        </w:rPr>
        <w:t xml:space="preserve">Energy consumption is pretty constant across spectrums</w:t>
      </w:r>
    </w:p>
    <w:p w:rsidR="00000000" w:rsidDel="00000000" w:rsidP="00000000" w:rsidRDefault="00000000" w:rsidRPr="00000000" w14:paraId="00000038">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39">
      <w:pPr>
        <w:rPr>
          <w:rFonts w:ascii="Roboto" w:cs="Roboto" w:eastAsia="Roboto" w:hAnsi="Roboto"/>
          <w:color w:val="222222"/>
          <w:sz w:val="24"/>
          <w:szCs w:val="24"/>
          <w:highlight w:val="white"/>
        </w:rPr>
      </w:pPr>
      <w:hyperlink r:id="rId16">
        <w:r w:rsidDel="00000000" w:rsidR="00000000" w:rsidRPr="00000000">
          <w:rPr>
            <w:rFonts w:ascii="Roboto" w:cs="Roboto" w:eastAsia="Roboto" w:hAnsi="Roboto"/>
            <w:color w:val="1155cc"/>
            <w:sz w:val="24"/>
            <w:szCs w:val="24"/>
            <w:highlight w:val="white"/>
            <w:u w:val="single"/>
            <w:rtl w:val="0"/>
          </w:rPr>
          <w:t xml:space="preserve">Samuoliené, G., A. Brazaityte, J. Jankauskiene, A. Virsile, R. Sirtautas, A. Novickovas, S. Sakalauskiene, J. Sakalauskaite, and P. Duchovskis. 2013. LED irradiance level affects growth and nutritional quality of Brassica microgreen. Cent. Eur. J. Biol. 8:1241–1249.</w:t>
        </w:r>
      </w:hyperlink>
      <w:r w:rsidDel="00000000" w:rsidR="00000000" w:rsidRPr="00000000">
        <w:rPr>
          <w:rtl w:val="0"/>
        </w:rPr>
      </w:r>
    </w:p>
    <w:p w:rsidR="00000000" w:rsidDel="00000000" w:rsidP="00000000" w:rsidRDefault="00000000" w:rsidRPr="00000000" w14:paraId="0000003A">
      <w:pPr>
        <w:rPr>
          <w:rFonts w:ascii="Roboto" w:cs="Roboto" w:eastAsia="Roboto" w:hAnsi="Roboto"/>
          <w:b w:val="1"/>
          <w:color w:val="222222"/>
          <w:sz w:val="24"/>
          <w:szCs w:val="24"/>
          <w:highlight w:val="white"/>
        </w:rPr>
      </w:pPr>
      <w:r w:rsidDel="00000000" w:rsidR="00000000" w:rsidRPr="00000000">
        <w:rPr>
          <w:rtl w:val="0"/>
        </w:rPr>
      </w:r>
    </w:p>
    <w:p w:rsidR="00000000" w:rsidDel="00000000" w:rsidP="00000000" w:rsidRDefault="00000000" w:rsidRPr="00000000" w14:paraId="0000003B">
      <w:pPr>
        <w:rPr>
          <w:rFonts w:ascii="Roboto" w:cs="Roboto" w:eastAsia="Roboto" w:hAnsi="Roboto"/>
          <w:b w:val="1"/>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Definitions: </w:t>
      </w:r>
    </w:p>
    <w:p w:rsidR="00000000" w:rsidDel="00000000" w:rsidP="00000000" w:rsidRDefault="00000000" w:rsidRPr="00000000" w14:paraId="0000003C">
      <w:pPr>
        <w:rPr>
          <w:rFonts w:ascii="Roboto" w:cs="Roboto" w:eastAsia="Roboto" w:hAnsi="Roboto"/>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PPFD- </w:t>
      </w:r>
      <w:r w:rsidDel="00000000" w:rsidR="00000000" w:rsidRPr="00000000">
        <w:rPr>
          <w:color w:val="222222"/>
          <w:sz w:val="21"/>
          <w:szCs w:val="21"/>
          <w:highlight w:val="white"/>
          <w:rtl w:val="0"/>
        </w:rPr>
        <w:t xml:space="preserve">The photosynthetic photon flux density is the amount of photosynthetically active photons (400-700nm) hitting a surface per unit area per unit time. The units are µmol (of photons) m-2 s-1.</w:t>
      </w:r>
      <w:r w:rsidDel="00000000" w:rsidR="00000000" w:rsidRPr="00000000">
        <w:rPr>
          <w:rtl w:val="0"/>
        </w:rPr>
      </w:r>
    </w:p>
    <w:p w:rsidR="00000000" w:rsidDel="00000000" w:rsidP="00000000" w:rsidRDefault="00000000" w:rsidRPr="00000000" w14:paraId="0000003D">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3E">
      <w:pPr>
        <w:rPr>
          <w:rFonts w:ascii="Roboto" w:cs="Roboto" w:eastAsia="Roboto" w:hAnsi="Roboto"/>
          <w:b w:val="1"/>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Light Quality Profile Studied:</w:t>
      </w:r>
    </w:p>
    <w:p w:rsidR="00000000" w:rsidDel="00000000" w:rsidP="00000000" w:rsidRDefault="00000000" w:rsidRPr="00000000" w14:paraId="0000003F">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Blue(445nm):10.25 Red(638nm):56.25 Red(665nm):68.75  Farred(735nm): 4</w:t>
      </w:r>
    </w:p>
    <w:p w:rsidR="00000000" w:rsidDel="00000000" w:rsidP="00000000" w:rsidRDefault="00000000" w:rsidRPr="00000000" w14:paraId="00000040">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41">
      <w:pPr>
        <w:rPr>
          <w:rFonts w:ascii="Roboto" w:cs="Roboto" w:eastAsia="Roboto" w:hAnsi="Roboto"/>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DLI Profiles:</w:t>
      </w:r>
      <w:r w:rsidDel="00000000" w:rsidR="00000000" w:rsidRPr="00000000">
        <w:rPr>
          <w:rFonts w:ascii="Roboto" w:cs="Roboto" w:eastAsia="Roboto" w:hAnsi="Roboto"/>
          <w:color w:val="222222"/>
          <w:sz w:val="24"/>
          <w:szCs w:val="24"/>
          <w:highlight w:val="white"/>
          <w:rtl w:val="0"/>
        </w:rPr>
        <w:br w:type="textWrapping"/>
        <w:t xml:space="preserve">-16hr photoperiod</w:t>
      </w:r>
    </w:p>
    <w:p w:rsidR="00000000" w:rsidDel="00000000" w:rsidP="00000000" w:rsidRDefault="00000000" w:rsidRPr="00000000" w14:paraId="00000042">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110 - 545 ppfd (6.5-31.5 DLI)</w:t>
      </w:r>
    </w:p>
    <w:p w:rsidR="00000000" w:rsidDel="00000000" w:rsidP="00000000" w:rsidRDefault="00000000" w:rsidRPr="00000000" w14:paraId="00000043">
      <w:pPr>
        <w:rPr>
          <w:rFonts w:ascii="Roboto" w:cs="Roboto" w:eastAsia="Roboto" w:hAnsi="Roboto"/>
          <w:b w:val="1"/>
          <w:color w:val="222222"/>
          <w:sz w:val="24"/>
          <w:szCs w:val="24"/>
          <w:highlight w:val="white"/>
        </w:rPr>
      </w:pPr>
      <w:r w:rsidDel="00000000" w:rsidR="00000000" w:rsidRPr="00000000">
        <w:rPr>
          <w:rtl w:val="0"/>
        </w:rPr>
      </w:r>
    </w:p>
    <w:p w:rsidR="00000000" w:rsidDel="00000000" w:rsidP="00000000" w:rsidRDefault="00000000" w:rsidRPr="00000000" w14:paraId="00000044">
      <w:pPr>
        <w:rPr>
          <w:rFonts w:ascii="Roboto" w:cs="Roboto" w:eastAsia="Roboto" w:hAnsi="Roboto"/>
          <w:b w:val="1"/>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Findings:</w:t>
      </w:r>
    </w:p>
    <w:p w:rsidR="00000000" w:rsidDel="00000000" w:rsidP="00000000" w:rsidRDefault="00000000" w:rsidRPr="00000000" w14:paraId="00000045">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-330+ ppfd needed for optimal growth</w:t>
      </w:r>
    </w:p>
    <w:p w:rsidR="00000000" w:rsidDel="00000000" w:rsidP="00000000" w:rsidRDefault="00000000" w:rsidRPr="00000000" w14:paraId="00000046">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 most all antioxidant/nutrient levels increased with increasing ppfd. Some began to fall off at 545 ppfd.</w:t>
      </w:r>
    </w:p>
    <w:p w:rsidR="00000000" w:rsidDel="00000000" w:rsidP="00000000" w:rsidRDefault="00000000" w:rsidRPr="00000000" w14:paraId="00000047">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 Insufficient lighting showed increased hypocotyl length and low antioxidant content.</w:t>
      </w:r>
    </w:p>
    <w:p w:rsidR="00000000" w:rsidDel="00000000" w:rsidP="00000000" w:rsidRDefault="00000000" w:rsidRPr="00000000" w14:paraId="00000048">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 Nitrate content declined in all species with increasing ppfd</w:t>
      </w:r>
    </w:p>
    <w:p w:rsidR="00000000" w:rsidDel="00000000" w:rsidP="00000000" w:rsidRDefault="00000000" w:rsidRPr="00000000" w14:paraId="00000049">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 They picked this lighting quality based on other studies, no research of their own</w:t>
        <w:br w:type="textWrapping"/>
        <w:br w:type="textWrapping"/>
      </w:r>
      <w:r w:rsidDel="00000000" w:rsidR="00000000" w:rsidRPr="00000000">
        <w:rPr>
          <w:rFonts w:ascii="Roboto" w:cs="Roboto" w:eastAsia="Roboto" w:hAnsi="Roboto"/>
          <w:b w:val="1"/>
          <w:color w:val="222222"/>
          <w:sz w:val="24"/>
          <w:szCs w:val="24"/>
          <w:highlight w:val="white"/>
          <w:rtl w:val="0"/>
        </w:rPr>
        <w:t xml:space="preserve">PPFD to DLI: </w:t>
      </w:r>
      <w:hyperlink r:id="rId17">
        <w:r w:rsidDel="00000000" w:rsidR="00000000" w:rsidRPr="00000000">
          <w:rPr>
            <w:rFonts w:ascii="Roboto" w:cs="Roboto" w:eastAsia="Roboto" w:hAnsi="Roboto"/>
            <w:color w:val="1155cc"/>
            <w:sz w:val="24"/>
            <w:szCs w:val="24"/>
            <w:highlight w:val="white"/>
            <w:u w:val="single"/>
            <w:rtl w:val="0"/>
          </w:rPr>
          <w:t xml:space="preserve">https://horticulturelightinggroup.com/blogs/calculators/converting-ppfd-to-dli</w:t>
        </w:r>
      </w:hyperlink>
      <w:r w:rsidDel="00000000" w:rsidR="00000000" w:rsidRPr="00000000">
        <w:rPr>
          <w:rtl w:val="0"/>
        </w:rPr>
      </w:r>
    </w:p>
    <w:p w:rsidR="00000000" w:rsidDel="00000000" w:rsidP="00000000" w:rsidRDefault="00000000" w:rsidRPr="00000000" w14:paraId="0000004A">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4B">
      <w:pPr>
        <w:rPr>
          <w:rFonts w:ascii="Roboto" w:cs="Roboto" w:eastAsia="Roboto" w:hAnsi="Roboto"/>
          <w:color w:val="222222"/>
          <w:sz w:val="24"/>
          <w:szCs w:val="24"/>
          <w:highlight w:val="white"/>
        </w:rPr>
      </w:pPr>
      <w:hyperlink r:id="rId18">
        <w:r w:rsidDel="00000000" w:rsidR="00000000" w:rsidRPr="00000000">
          <w:rPr>
            <w:rFonts w:ascii="Roboto" w:cs="Roboto" w:eastAsia="Roboto" w:hAnsi="Roboto"/>
            <w:color w:val="1155cc"/>
            <w:sz w:val="24"/>
            <w:szCs w:val="24"/>
            <w:highlight w:val="white"/>
            <w:u w:val="single"/>
            <w:rtl w:val="0"/>
          </w:rPr>
          <w:t xml:space="preserve">https://www.sciencedirect.com/science/article/abs/pii/S0304423819307435</w:t>
        </w:r>
      </w:hyperlink>
      <w:r w:rsidDel="00000000" w:rsidR="00000000" w:rsidRPr="00000000">
        <w:rPr>
          <w:rtl w:val="0"/>
        </w:rPr>
      </w:r>
    </w:p>
    <w:p w:rsidR="00000000" w:rsidDel="00000000" w:rsidP="00000000" w:rsidRDefault="00000000" w:rsidRPr="00000000" w14:paraId="0000004C">
      <w:pPr>
        <w:rPr>
          <w:rFonts w:ascii="Roboto" w:cs="Roboto" w:eastAsia="Roboto" w:hAnsi="Roboto"/>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Findings:</w:t>
        <w:br w:type="textWrapping"/>
        <w:t xml:space="preserve">-</w:t>
      </w:r>
      <w:r w:rsidDel="00000000" w:rsidR="00000000" w:rsidRPr="00000000">
        <w:rPr>
          <w:rFonts w:ascii="Roboto" w:cs="Roboto" w:eastAsia="Roboto" w:hAnsi="Roboto"/>
          <w:color w:val="222222"/>
          <w:sz w:val="24"/>
          <w:szCs w:val="24"/>
          <w:highlight w:val="white"/>
          <w:rtl w:val="0"/>
        </w:rPr>
        <w:t xml:space="preserve">Ideal blue light to red light percentage varies by species. </w:t>
      </w:r>
    </w:p>
    <w:p w:rsidR="00000000" w:rsidDel="00000000" w:rsidP="00000000" w:rsidRDefault="00000000" w:rsidRPr="00000000" w14:paraId="0000004D">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-All species preferred between 5-15 percent Blue</w:t>
      </w:r>
    </w:p>
    <w:p w:rsidR="00000000" w:rsidDel="00000000" w:rsidP="00000000" w:rsidRDefault="00000000" w:rsidRPr="00000000" w14:paraId="0000004E">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 Blue light percent did not effect DW or FW</w:t>
      </w:r>
    </w:p>
    <w:p w:rsidR="00000000" w:rsidDel="00000000" w:rsidP="00000000" w:rsidRDefault="00000000" w:rsidRPr="00000000" w14:paraId="0000004F">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- 300 ppfd maintained for all trials.</w:t>
      </w:r>
    </w:p>
    <w:p w:rsidR="00000000" w:rsidDel="00000000" w:rsidP="00000000" w:rsidRDefault="00000000" w:rsidRPr="00000000" w14:paraId="00000050">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51">
      <w:pPr>
        <w:rPr>
          <w:rFonts w:ascii="Roboto" w:cs="Roboto" w:eastAsia="Roboto" w:hAnsi="Roboto"/>
          <w:color w:val="222222"/>
          <w:sz w:val="24"/>
          <w:szCs w:val="24"/>
          <w:highlight w:val="white"/>
        </w:rPr>
      </w:pPr>
      <w:hyperlink r:id="rId19">
        <w:r w:rsidDel="00000000" w:rsidR="00000000" w:rsidRPr="00000000">
          <w:rPr>
            <w:rFonts w:ascii="Roboto" w:cs="Roboto" w:eastAsia="Roboto" w:hAnsi="Roboto"/>
            <w:color w:val="1155cc"/>
            <w:sz w:val="24"/>
            <w:szCs w:val="24"/>
            <w:highlight w:val="white"/>
            <w:u w:val="single"/>
            <w:rtl w:val="0"/>
          </w:rPr>
          <w:t xml:space="preserve">https://journals.ashs.org/hortsci/view/journals/hortsci/54/11/article-p1955.xml</w:t>
        </w:r>
      </w:hyperlink>
      <w:r w:rsidDel="00000000" w:rsidR="00000000" w:rsidRPr="00000000">
        <w:rPr>
          <w:rtl w:val="0"/>
        </w:rPr>
      </w:r>
    </w:p>
    <w:p w:rsidR="00000000" w:rsidDel="00000000" w:rsidP="00000000" w:rsidRDefault="00000000" w:rsidRPr="00000000" w14:paraId="00000052">
      <w:pPr>
        <w:rPr>
          <w:rFonts w:ascii="Roboto" w:cs="Roboto" w:eastAsia="Roboto" w:hAnsi="Roboto"/>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DLI Profile:</w:t>
        <w:br w:type="textWrapping"/>
      </w:r>
      <w:r w:rsidDel="00000000" w:rsidR="00000000" w:rsidRPr="00000000">
        <w:rPr>
          <w:rFonts w:ascii="Roboto" w:cs="Roboto" w:eastAsia="Roboto" w:hAnsi="Roboto"/>
          <w:color w:val="222222"/>
          <w:sz w:val="24"/>
          <w:szCs w:val="24"/>
          <w:highlight w:val="white"/>
          <w:rtl w:val="0"/>
        </w:rPr>
        <w:t xml:space="preserve">100 ppfd for 16 or 24 hours (5.6-8.7 DLI)</w:t>
      </w:r>
    </w:p>
    <w:p w:rsidR="00000000" w:rsidDel="00000000" w:rsidP="00000000" w:rsidRDefault="00000000" w:rsidRPr="00000000" w14:paraId="00000053">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RED: 665nm</w:t>
      </w:r>
    </w:p>
    <w:p w:rsidR="00000000" w:rsidDel="00000000" w:rsidP="00000000" w:rsidRDefault="00000000" w:rsidRPr="00000000" w14:paraId="00000054">
      <w:pPr>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BLUE: 440nm</w:t>
      </w:r>
    </w:p>
    <w:p w:rsidR="00000000" w:rsidDel="00000000" w:rsidP="00000000" w:rsidRDefault="00000000" w:rsidRPr="00000000" w14:paraId="00000055">
      <w:pPr>
        <w:rPr>
          <w:rFonts w:ascii="Roboto" w:cs="Roboto" w:eastAsia="Roboto" w:hAnsi="Roboto"/>
          <w:b w:val="1"/>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Findings:</w:t>
      </w:r>
    </w:p>
    <w:p w:rsidR="00000000" w:rsidDel="00000000" w:rsidP="00000000" w:rsidRDefault="00000000" w:rsidRPr="00000000" w14:paraId="00000056">
      <w:pPr>
        <w:ind w:left="0"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-Regardless of photoperiod blue light promotes stem extension and reduces leaf area, while red light promotes expanded leaf area and shorter stems</w:t>
      </w:r>
    </w:p>
    <w:p w:rsidR="00000000" w:rsidDel="00000000" w:rsidP="00000000" w:rsidRDefault="00000000" w:rsidRPr="00000000" w14:paraId="00000057">
      <w:pPr>
        <w:ind w:left="0"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-These effects vary slightly by plant species </w:t>
      </w:r>
    </w:p>
    <w:p w:rsidR="00000000" w:rsidDel="00000000" w:rsidP="00000000" w:rsidRDefault="00000000" w:rsidRPr="00000000" w14:paraId="00000058">
      <w:pPr>
        <w:ind w:left="0"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 It is possible to use 24hr photoperiod at lower intensity</w:t>
      </w:r>
    </w:p>
    <w:p w:rsidR="00000000" w:rsidDel="00000000" w:rsidP="00000000" w:rsidRDefault="00000000" w:rsidRPr="00000000" w14:paraId="00000059">
      <w:pPr>
        <w:ind w:left="0" w:firstLine="0"/>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5A">
      <w:pPr>
        <w:ind w:left="0" w:firstLine="0"/>
        <w:rPr>
          <w:rFonts w:ascii="Roboto" w:cs="Roboto" w:eastAsia="Roboto" w:hAnsi="Roboto"/>
          <w:color w:val="222222"/>
          <w:sz w:val="24"/>
          <w:szCs w:val="24"/>
          <w:highlight w:val="white"/>
        </w:rPr>
      </w:pPr>
      <w:hyperlink r:id="rId20">
        <w:r w:rsidDel="00000000" w:rsidR="00000000" w:rsidRPr="00000000">
          <w:rPr>
            <w:rFonts w:ascii="Roboto" w:cs="Roboto" w:eastAsia="Roboto" w:hAnsi="Roboto"/>
            <w:color w:val="1155cc"/>
            <w:sz w:val="24"/>
            <w:szCs w:val="24"/>
            <w:highlight w:val="white"/>
            <w:u w:val="single"/>
            <w:rtl w:val="0"/>
          </w:rPr>
          <w:t xml:space="preserve">https://journals.ashs.org/jashs/view/journals/jashs/139/4/article-p469.xml</w:t>
        </w:r>
      </w:hyperlink>
      <w:r w:rsidDel="00000000" w:rsidR="00000000" w:rsidRPr="00000000">
        <w:rPr>
          <w:rtl w:val="0"/>
        </w:rPr>
      </w:r>
    </w:p>
    <w:p w:rsidR="00000000" w:rsidDel="00000000" w:rsidP="00000000" w:rsidRDefault="00000000" w:rsidRPr="00000000" w14:paraId="0000005B">
      <w:pPr>
        <w:ind w:left="0" w:firstLine="0"/>
        <w:rPr>
          <w:color w:val="222222"/>
          <w:sz w:val="21"/>
          <w:szCs w:val="21"/>
          <w:highlight w:val="white"/>
        </w:rPr>
      </w:pPr>
      <w:r w:rsidDel="00000000" w:rsidR="00000000" w:rsidRPr="00000000">
        <w:rPr>
          <w:color w:val="222222"/>
          <w:sz w:val="21"/>
          <w:szCs w:val="21"/>
          <w:highlight w:val="white"/>
          <w:rtl w:val="0"/>
        </w:rPr>
        <w:t xml:space="preserve">“Management of the light environment may be a viable means to improve the nutritional contributions of specialty vegetable crops.”</w:t>
      </w:r>
    </w:p>
    <w:p w:rsidR="00000000" w:rsidDel="00000000" w:rsidP="00000000" w:rsidRDefault="00000000" w:rsidRPr="00000000" w14:paraId="0000005C">
      <w:pPr>
        <w:ind w:left="0" w:firstLine="0"/>
        <w:rPr>
          <w:color w:val="222222"/>
          <w:sz w:val="21"/>
          <w:szCs w:val="21"/>
          <w:highlight w:val="white"/>
        </w:rPr>
      </w:pPr>
      <w:r w:rsidDel="00000000" w:rsidR="00000000" w:rsidRPr="00000000">
        <w:rPr>
          <w:color w:val="222222"/>
          <w:sz w:val="21"/>
          <w:szCs w:val="21"/>
          <w:highlight w:val="white"/>
          <w:rtl w:val="0"/>
        </w:rPr>
        <w:t xml:space="preserve">-20% blue light saw an increase in almost all nutrients/antioxidants</w:t>
      </w:r>
    </w:p>
    <w:p w:rsidR="00000000" w:rsidDel="00000000" w:rsidP="00000000" w:rsidRDefault="00000000" w:rsidRPr="00000000" w14:paraId="0000005D">
      <w:pPr>
        <w:ind w:left="0" w:firstLine="0"/>
        <w:rPr>
          <w:color w:val="222222"/>
          <w:sz w:val="21"/>
          <w:szCs w:val="21"/>
          <w:highlight w:val="white"/>
        </w:rPr>
      </w:pPr>
      <w:r w:rsidDel="00000000" w:rsidR="00000000" w:rsidRPr="00000000">
        <w:rPr>
          <w:color w:val="222222"/>
          <w:sz w:val="21"/>
          <w:szCs w:val="21"/>
          <w:highlight w:val="white"/>
          <w:rtl w:val="0"/>
        </w:rPr>
        <w:t xml:space="preserve">- Light intensity 250 ppfd</w:t>
      </w:r>
    </w:p>
    <w:p w:rsidR="00000000" w:rsidDel="00000000" w:rsidP="00000000" w:rsidRDefault="00000000" w:rsidRPr="00000000" w14:paraId="0000005E">
      <w:pPr>
        <w:ind w:left="0" w:firstLine="0"/>
        <w:rPr>
          <w:color w:val="222222"/>
          <w:sz w:val="21"/>
          <w:szCs w:val="21"/>
          <w:highlight w:val="white"/>
        </w:rPr>
      </w:pPr>
      <w:r w:rsidDel="00000000" w:rsidR="00000000" w:rsidRPr="00000000">
        <w:rPr>
          <w:color w:val="222222"/>
          <w:sz w:val="21"/>
          <w:szCs w:val="21"/>
          <w:highlight w:val="white"/>
          <w:rtl w:val="0"/>
        </w:rPr>
        <w:t xml:space="preserve">- Increased DW with 5% Blue light compared to 20% blue light ( Suggesting that red light promotes mass growth)</w:t>
      </w:r>
    </w:p>
    <w:p w:rsidR="00000000" w:rsidDel="00000000" w:rsidP="00000000" w:rsidRDefault="00000000" w:rsidRPr="00000000" w14:paraId="0000005F">
      <w:pPr>
        <w:ind w:left="0"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Pr>
        <w:drawing>
          <wp:inline distB="114300" distT="114300" distL="114300" distR="114300">
            <wp:extent cx="3048000" cy="3048000"/>
            <wp:effectExtent b="0" l="0" r="0" t="0"/>
            <wp:docPr id="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048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2"/>
        <w:rPr/>
      </w:pPr>
      <w:bookmarkStart w:colFirst="0" w:colLast="0" w:name="_y4rki6fl2g2a" w:id="6"/>
      <w:bookmarkEnd w:id="6"/>
      <w:r w:rsidDel="00000000" w:rsidR="00000000" w:rsidRPr="00000000">
        <w:rPr>
          <w:rtl w:val="0"/>
        </w:rPr>
        <w:t xml:space="preserve">Dissolved Oxygen (Aeration)</w:t>
      </w:r>
    </w:p>
    <w:p w:rsidR="00000000" w:rsidDel="00000000" w:rsidP="00000000" w:rsidRDefault="00000000" w:rsidRPr="00000000" w14:paraId="00000061">
      <w:pPr>
        <w:rPr/>
      </w:pPr>
      <w:hyperlink r:id="rId22">
        <w:r w:rsidDel="00000000" w:rsidR="00000000" w:rsidRPr="00000000">
          <w:rPr>
            <w:color w:val="1155cc"/>
            <w:u w:val="single"/>
            <w:rtl w:val="0"/>
          </w:rPr>
          <w:t xml:space="preserve">https://www.actahort.org/books/440/440_36.htm</w:t>
        </w:r>
      </w:hyperlink>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-No differences observed between 2.1, 4.2, 8.4 amd 16.8 (mg/L DO) when growing lettuce hydroponically.</w:t>
      </w:r>
    </w:p>
    <w:p w:rsidR="00000000" w:rsidDel="00000000" w:rsidP="00000000" w:rsidRDefault="00000000" w:rsidRPr="00000000" w14:paraId="00000063">
      <w:pPr>
        <w:rPr/>
      </w:pPr>
      <w:r w:rsidDel="00000000" w:rsidR="00000000" w:rsidRPr="00000000">
        <w:rPr>
          <w:rtl w:val="0"/>
        </w:rPr>
        <w:t xml:space="preserve">- Critical concentration assumed to be below 2.1 mg/L</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hyperlink r:id="rId23">
        <w:r w:rsidDel="00000000" w:rsidR="00000000" w:rsidRPr="00000000">
          <w:rPr>
            <w:color w:val="1155cc"/>
            <w:u w:val="single"/>
            <w:rtl w:val="0"/>
          </w:rPr>
          <w:t xml:space="preserve">https://www.sciencedirect.com/science/article/abs/pii/S0304423807001203</w:t>
        </w:r>
      </w:hyperlink>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-Mild negative effects seen at high (40mg/L DO) saturations. </w:t>
      </w:r>
    </w:p>
    <w:p w:rsidR="00000000" w:rsidDel="00000000" w:rsidP="00000000" w:rsidRDefault="00000000" w:rsidRPr="00000000" w14:paraId="00000067">
      <w:pPr>
        <w:rPr/>
      </w:pPr>
      <w:r w:rsidDel="00000000" w:rsidR="00000000" w:rsidRPr="00000000">
        <w:rPr>
          <w:rtl w:val="0"/>
        </w:rPr>
        <w:t xml:space="preserve">- DW and FW did not increase after reaching standard air saturation (~8.5mg/L)</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In general simple aeration technique seem sufficient to maintain a good amount of oxygen in the water (Bubbler is fine)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hyperlink r:id="rId24">
        <w:r w:rsidDel="00000000" w:rsidR="00000000" w:rsidRPr="00000000">
          <w:rPr>
            <w:color w:val="1155cc"/>
            <w:u w:val="single"/>
            <w:rtl w:val="0"/>
          </w:rPr>
          <w:t xml:space="preserve">https://www.o2grow.com/</w:t>
        </w:r>
      </w:hyperlink>
      <w:r w:rsidDel="00000000" w:rsidR="00000000" w:rsidRPr="00000000">
        <w:rPr>
          <w:rtl w:val="0"/>
        </w:rPr>
        <w:t xml:space="preserve"> - Electrolysis used to split oxygen and hydrogen</w:t>
      </w:r>
    </w:p>
    <w:p w:rsidR="00000000" w:rsidDel="00000000" w:rsidP="00000000" w:rsidRDefault="00000000" w:rsidRPr="00000000" w14:paraId="0000006D">
      <w:pPr>
        <w:numPr>
          <w:ilvl w:val="0"/>
          <w:numId w:val="9"/>
        </w:numPr>
        <w:ind w:left="720" w:hanging="360"/>
        <w:rPr>
          <w:u w:val="none"/>
        </w:rPr>
      </w:pPr>
      <w:r w:rsidDel="00000000" w:rsidR="00000000" w:rsidRPr="00000000">
        <w:rPr>
          <w:rtl w:val="0"/>
        </w:rPr>
        <w:t xml:space="preserve">Potential changes to ph?</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2"/>
        <w:rPr/>
      </w:pPr>
      <w:bookmarkStart w:colFirst="0" w:colLast="0" w:name="_ewas3fk9lpvq" w:id="7"/>
      <w:bookmarkEnd w:id="7"/>
      <w:r w:rsidDel="00000000" w:rsidR="00000000" w:rsidRPr="00000000">
        <w:rPr>
          <w:rtl w:val="0"/>
        </w:rPr>
        <w:t xml:space="preserve">Humidity</w:t>
      </w:r>
    </w:p>
    <w:p w:rsidR="00000000" w:rsidDel="00000000" w:rsidP="00000000" w:rsidRDefault="00000000" w:rsidRPr="00000000" w14:paraId="00000070">
      <w:pPr>
        <w:rPr/>
      </w:pPr>
      <w:hyperlink r:id="rId25">
        <w:r w:rsidDel="00000000" w:rsidR="00000000" w:rsidRPr="00000000">
          <w:rPr>
            <w:color w:val="1155cc"/>
            <w:u w:val="single"/>
            <w:rtl w:val="0"/>
          </w:rPr>
          <w:t xml:space="preserve">https://www.sciencedirect.com/science/article/abs/pii/0304423886900130</w:t>
        </w:r>
      </w:hyperlink>
      <w:r w:rsidDel="00000000" w:rsidR="00000000" w:rsidRPr="00000000">
        <w:rPr>
          <w:rtl w:val="0"/>
        </w:rPr>
      </w:r>
    </w:p>
    <w:p w:rsidR="00000000" w:rsidDel="00000000" w:rsidP="00000000" w:rsidRDefault="00000000" w:rsidRPr="00000000" w14:paraId="00000071">
      <w:pPr>
        <w:numPr>
          <w:ilvl w:val="0"/>
          <w:numId w:val="11"/>
        </w:numPr>
        <w:ind w:left="720" w:hanging="360"/>
        <w:rPr>
          <w:u w:val="none"/>
        </w:rPr>
      </w:pPr>
      <w:r w:rsidDel="00000000" w:rsidR="00000000" w:rsidRPr="00000000">
        <w:rPr>
          <w:rtl w:val="0"/>
        </w:rPr>
        <w:t xml:space="preserve">By increasing RH from 70 -100 they increased the DW by 30 percent in various greenhouse plants.</w:t>
      </w:r>
    </w:p>
    <w:p w:rsidR="00000000" w:rsidDel="00000000" w:rsidP="00000000" w:rsidRDefault="00000000" w:rsidRPr="00000000" w14:paraId="00000072">
      <w:pPr>
        <w:numPr>
          <w:ilvl w:val="0"/>
          <w:numId w:val="11"/>
        </w:numPr>
        <w:ind w:left="720" w:hanging="360"/>
        <w:rPr>
          <w:u w:val="none"/>
        </w:rPr>
      </w:pPr>
      <w:r w:rsidDel="00000000" w:rsidR="00000000" w:rsidRPr="00000000">
        <w:rPr>
          <w:rtl w:val="0"/>
        </w:rPr>
        <w:t xml:space="preserve">Shoot length also increased</w:t>
      </w:r>
    </w:p>
    <w:p w:rsidR="00000000" w:rsidDel="00000000" w:rsidP="00000000" w:rsidRDefault="00000000" w:rsidRPr="00000000" w14:paraId="00000073">
      <w:pPr>
        <w:ind w:left="0" w:firstLine="0"/>
        <w:rPr/>
      </w:pPr>
      <w:hyperlink r:id="rId26">
        <w:r w:rsidDel="00000000" w:rsidR="00000000" w:rsidRPr="00000000">
          <w:rPr>
            <w:color w:val="1155cc"/>
            <w:u w:val="single"/>
            <w:rtl w:val="0"/>
          </w:rPr>
          <w:t xml:space="preserve">https://www.sciencedirect.com/science/article/abs/pii/0304423889900782</w:t>
        </w:r>
      </w:hyperlink>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t xml:space="preserve">-By increasing Rh from 50-95  they say significant increases to dry weight in the first 2 weeks of growth.</w:t>
      </w:r>
    </w:p>
    <w:p w:rsidR="00000000" w:rsidDel="00000000" w:rsidP="00000000" w:rsidRDefault="00000000" w:rsidRPr="00000000" w14:paraId="00000075">
      <w:pPr>
        <w:ind w:left="0" w:firstLine="0"/>
        <w:rPr/>
      </w:pPr>
      <w:r w:rsidDel="00000000" w:rsidR="00000000" w:rsidRPr="00000000">
        <w:rPr>
          <w:rtl w:val="0"/>
        </w:rPr>
        <w:t xml:space="preserve">-No specific humidity sensor known in plants</w:t>
      </w:r>
    </w:p>
    <w:p w:rsidR="00000000" w:rsidDel="00000000" w:rsidP="00000000" w:rsidRDefault="00000000" w:rsidRPr="00000000" w14:paraId="00000076">
      <w:pPr>
        <w:rPr/>
      </w:pPr>
      <w:r w:rsidDel="00000000" w:rsidR="00000000" w:rsidRPr="00000000">
        <w:rPr>
          <w:rtl w:val="0"/>
        </w:rPr>
        <w:t xml:space="preserve">-” It is concluded that increased plant growth resulting from increased RH might be caused by an increase in stomatal aperture which in turn facilitates CO2 absorption and utilization.”</w:t>
      </w:r>
    </w:p>
    <w:p w:rsidR="00000000" w:rsidDel="00000000" w:rsidP="00000000" w:rsidRDefault="00000000" w:rsidRPr="00000000" w14:paraId="00000077">
      <w:pPr>
        <w:pStyle w:val="Heading2"/>
        <w:rPr/>
      </w:pPr>
      <w:bookmarkStart w:colFirst="0" w:colLast="0" w:name="_h63vpvgdfmzw" w:id="8"/>
      <w:bookmarkEnd w:id="8"/>
      <w:r w:rsidDel="00000000" w:rsidR="00000000" w:rsidRPr="00000000">
        <w:rPr>
          <w:rtl w:val="0"/>
        </w:rPr>
        <w:t xml:space="preserve">Disease Prevention</w:t>
      </w:r>
    </w:p>
    <w:p w:rsidR="00000000" w:rsidDel="00000000" w:rsidP="00000000" w:rsidRDefault="00000000" w:rsidRPr="00000000" w14:paraId="00000078">
      <w:pPr>
        <w:numPr>
          <w:ilvl w:val="0"/>
          <w:numId w:val="12"/>
        </w:numPr>
        <w:pBdr>
          <w:bottom w:color="auto" w:space="5" w:sz="0" w:val="none"/>
        </w:pBdr>
        <w:spacing w:after="0" w:afterAutospacing="0" w:before="200" w:lineRule="auto"/>
        <w:ind w:left="720" w:hanging="360"/>
        <w:rPr>
          <w:rFonts w:ascii="Arial" w:cs="Arial" w:eastAsia="Arial" w:hAnsi="Arial"/>
          <w:sz w:val="22"/>
          <w:szCs w:val="22"/>
        </w:rPr>
      </w:pPr>
      <w:r w:rsidDel="00000000" w:rsidR="00000000" w:rsidRPr="00000000">
        <w:rPr>
          <w:rtl w:val="0"/>
        </w:rPr>
        <w:t xml:space="preserve">Ensure air movement with horizontal airflow fans.</w:t>
      </w:r>
    </w:p>
    <w:p w:rsidR="00000000" w:rsidDel="00000000" w:rsidP="00000000" w:rsidRDefault="00000000" w:rsidRPr="00000000" w14:paraId="00000079">
      <w:pPr>
        <w:numPr>
          <w:ilvl w:val="0"/>
          <w:numId w:val="12"/>
        </w:numPr>
        <w:pBdr>
          <w:bottom w:color="auto" w:space="5" w:sz="0" w:val="none"/>
        </w:pBdr>
        <w:spacing w:after="0" w:afterAutospacing="0" w:before="0" w:beforeAutospacing="0" w:lineRule="auto"/>
        <w:ind w:left="720" w:hanging="360"/>
        <w:rPr>
          <w:rFonts w:ascii="Arial" w:cs="Arial" w:eastAsia="Arial" w:hAnsi="Arial"/>
          <w:sz w:val="22"/>
          <w:szCs w:val="22"/>
        </w:rPr>
      </w:pPr>
      <w:r w:rsidDel="00000000" w:rsidR="00000000" w:rsidRPr="00000000">
        <w:rPr>
          <w:rtl w:val="0"/>
        </w:rPr>
        <w:t xml:space="preserve">Use clean media and water sources.</w:t>
      </w:r>
    </w:p>
    <w:p w:rsidR="00000000" w:rsidDel="00000000" w:rsidP="00000000" w:rsidRDefault="00000000" w:rsidRPr="00000000" w14:paraId="0000007A">
      <w:pPr>
        <w:numPr>
          <w:ilvl w:val="0"/>
          <w:numId w:val="12"/>
        </w:numPr>
        <w:pBdr>
          <w:bottom w:color="auto" w:space="5" w:sz="0" w:val="none"/>
        </w:pBdr>
        <w:spacing w:after="0" w:afterAutospacing="0" w:before="0" w:beforeAutospacing="0" w:lineRule="auto"/>
        <w:ind w:left="720" w:hanging="360"/>
        <w:rPr>
          <w:rFonts w:ascii="Arial" w:cs="Arial" w:eastAsia="Arial" w:hAnsi="Arial"/>
          <w:sz w:val="22"/>
          <w:szCs w:val="22"/>
        </w:rPr>
      </w:pPr>
      <w:r w:rsidDel="00000000" w:rsidR="00000000" w:rsidRPr="00000000">
        <w:rPr>
          <w:rtl w:val="0"/>
        </w:rPr>
        <w:t xml:space="preserve">Use appropriate seeding density.</w:t>
      </w:r>
    </w:p>
    <w:p w:rsidR="00000000" w:rsidDel="00000000" w:rsidP="00000000" w:rsidRDefault="00000000" w:rsidRPr="00000000" w14:paraId="0000007B">
      <w:pPr>
        <w:numPr>
          <w:ilvl w:val="0"/>
          <w:numId w:val="12"/>
        </w:numPr>
        <w:pBdr>
          <w:bottom w:color="auto" w:space="5" w:sz="0" w:val="none"/>
        </w:pBdr>
        <w:spacing w:before="0" w:beforeAutospacing="0" w:lineRule="auto"/>
        <w:ind w:left="720" w:hanging="360"/>
        <w:rPr>
          <w:rFonts w:ascii="Arial" w:cs="Arial" w:eastAsia="Arial" w:hAnsi="Arial"/>
          <w:sz w:val="22"/>
          <w:szCs w:val="22"/>
        </w:rPr>
      </w:pPr>
      <w:r w:rsidDel="00000000" w:rsidR="00000000" w:rsidRPr="00000000">
        <w:rPr>
          <w:rtl w:val="0"/>
        </w:rPr>
        <w:t xml:space="preserve">Take care not to over-water.</w:t>
      </w:r>
    </w:p>
    <w:p w:rsidR="00000000" w:rsidDel="00000000" w:rsidP="00000000" w:rsidRDefault="00000000" w:rsidRPr="00000000" w14:paraId="0000007C">
      <w:pPr>
        <w:pStyle w:val="Heading2"/>
        <w:pBdr>
          <w:bottom w:color="auto" w:space="5" w:sz="0" w:val="none"/>
        </w:pBdr>
        <w:spacing w:before="200" w:lineRule="auto"/>
        <w:rPr/>
      </w:pPr>
      <w:bookmarkStart w:colFirst="0" w:colLast="0" w:name="_7veidohlgqsq" w:id="9"/>
      <w:bookmarkEnd w:id="9"/>
      <w:r w:rsidDel="00000000" w:rsidR="00000000" w:rsidRPr="00000000">
        <w:rPr>
          <w:rtl w:val="0"/>
        </w:rPr>
        <w:t xml:space="preserve">Known Challenges</w:t>
      </w:r>
    </w:p>
    <w:p w:rsidR="00000000" w:rsidDel="00000000" w:rsidP="00000000" w:rsidRDefault="00000000" w:rsidRPr="00000000" w14:paraId="0000007D">
      <w:pPr>
        <w:rPr/>
      </w:pPr>
      <w:r w:rsidDel="00000000" w:rsidR="00000000" w:rsidRPr="00000000">
        <w:rPr>
          <w:rtl w:val="0"/>
        </w:rPr>
        <w:t xml:space="preserve">Large Seed Size</w:t>
      </w:r>
    </w:p>
    <w:p w:rsidR="00000000" w:rsidDel="00000000" w:rsidP="00000000" w:rsidRDefault="00000000" w:rsidRPr="00000000" w14:paraId="0000007E">
      <w:pPr>
        <w:numPr>
          <w:ilvl w:val="0"/>
          <w:numId w:val="10"/>
        </w:numPr>
        <w:ind w:left="720" w:hanging="360"/>
        <w:rPr>
          <w:u w:val="none"/>
        </w:rPr>
      </w:pPr>
      <w:r w:rsidDel="00000000" w:rsidR="00000000" w:rsidRPr="00000000">
        <w:rPr>
          <w:rtl w:val="0"/>
        </w:rPr>
        <w:t xml:space="preserve">Hard time making contact with growing media</w:t>
      </w:r>
    </w:p>
    <w:p w:rsidR="00000000" w:rsidDel="00000000" w:rsidP="00000000" w:rsidRDefault="00000000" w:rsidRPr="00000000" w14:paraId="0000007F">
      <w:pPr>
        <w:numPr>
          <w:ilvl w:val="1"/>
          <w:numId w:val="10"/>
        </w:numPr>
        <w:ind w:left="1440" w:hanging="360"/>
        <w:rPr>
          <w:u w:val="none"/>
        </w:rPr>
      </w:pPr>
      <w:r w:rsidDel="00000000" w:rsidR="00000000" w:rsidRPr="00000000">
        <w:rPr>
          <w:rtl w:val="0"/>
        </w:rPr>
        <w:t xml:space="preserve">Need to be pressed firmly into media and covered </w:t>
      </w:r>
    </w:p>
    <w:p w:rsidR="00000000" w:rsidDel="00000000" w:rsidP="00000000" w:rsidRDefault="00000000" w:rsidRPr="00000000" w14:paraId="00000080">
      <w:pPr>
        <w:numPr>
          <w:ilvl w:val="1"/>
          <w:numId w:val="10"/>
        </w:numPr>
        <w:ind w:left="1440" w:hanging="360"/>
        <w:rPr>
          <w:u w:val="none"/>
        </w:rPr>
      </w:pPr>
      <w:r w:rsidDel="00000000" w:rsidR="00000000" w:rsidRPr="00000000">
        <w:rPr>
          <w:rtl w:val="0"/>
        </w:rPr>
        <w:t xml:space="preserve">Misconception- fewer amounts to sow are not needed</w:t>
      </w:r>
    </w:p>
    <w:p w:rsidR="00000000" w:rsidDel="00000000" w:rsidP="00000000" w:rsidRDefault="00000000" w:rsidRPr="00000000" w14:paraId="00000081">
      <w:pPr>
        <w:numPr>
          <w:ilvl w:val="2"/>
          <w:numId w:val="10"/>
        </w:numPr>
        <w:ind w:left="2160" w:hanging="360"/>
        <w:rPr>
          <w:u w:val="none"/>
        </w:rPr>
      </w:pPr>
      <w:r w:rsidDel="00000000" w:rsidR="00000000" w:rsidRPr="00000000">
        <w:rPr>
          <w:rtl w:val="0"/>
        </w:rPr>
        <w:t xml:space="preserve">Should still be sown ⅛ to ¼ inch apart</w:t>
      </w:r>
    </w:p>
    <w:p w:rsidR="00000000" w:rsidDel="00000000" w:rsidP="00000000" w:rsidRDefault="00000000" w:rsidRPr="00000000" w14:paraId="00000082">
      <w:pPr>
        <w:rPr/>
      </w:pPr>
      <w:r w:rsidDel="00000000" w:rsidR="00000000" w:rsidRPr="00000000">
        <w:rPr>
          <w:rtl w:val="0"/>
        </w:rPr>
        <w:t xml:space="preserve">Slower Germination Rate Plants</w:t>
      </w:r>
    </w:p>
    <w:p w:rsidR="00000000" w:rsidDel="00000000" w:rsidP="00000000" w:rsidRDefault="00000000" w:rsidRPr="00000000" w14:paraId="00000083">
      <w:pPr>
        <w:numPr>
          <w:ilvl w:val="0"/>
          <w:numId w:val="6"/>
        </w:numPr>
        <w:ind w:left="720" w:hanging="360"/>
        <w:rPr>
          <w:u w:val="none"/>
        </w:rPr>
      </w:pPr>
      <w:r w:rsidDel="00000000" w:rsidR="00000000" w:rsidRPr="00000000">
        <w:rPr>
          <w:rtl w:val="0"/>
        </w:rPr>
        <w:t xml:space="preserve">Over and underwatering both problematic</w:t>
      </w:r>
    </w:p>
    <w:p w:rsidR="00000000" w:rsidDel="00000000" w:rsidP="00000000" w:rsidRDefault="00000000" w:rsidRPr="00000000" w14:paraId="00000084">
      <w:pPr>
        <w:numPr>
          <w:ilvl w:val="0"/>
          <w:numId w:val="6"/>
        </w:numPr>
        <w:ind w:left="720" w:hanging="360"/>
        <w:rPr>
          <w:u w:val="none"/>
        </w:rPr>
      </w:pPr>
      <w:r w:rsidDel="00000000" w:rsidR="00000000" w:rsidRPr="00000000">
        <w:rPr>
          <w:rtl w:val="0"/>
        </w:rPr>
        <w:t xml:space="preserve">Moist but not saturated</w:t>
      </w:r>
    </w:p>
    <w:p w:rsidR="00000000" w:rsidDel="00000000" w:rsidP="00000000" w:rsidRDefault="00000000" w:rsidRPr="00000000" w14:paraId="00000085">
      <w:pPr>
        <w:numPr>
          <w:ilvl w:val="0"/>
          <w:numId w:val="6"/>
        </w:numPr>
        <w:ind w:left="720" w:hanging="360"/>
        <w:rPr>
          <w:u w:val="none"/>
        </w:rPr>
      </w:pPr>
      <w:r w:rsidDel="00000000" w:rsidR="00000000" w:rsidRPr="00000000">
        <w:rPr>
          <w:rtl w:val="0"/>
        </w:rPr>
        <w:t xml:space="preserve">Supplemental heat will in plants that need warmer temps</w:t>
      </w:r>
    </w:p>
    <w:p w:rsidR="00000000" w:rsidDel="00000000" w:rsidP="00000000" w:rsidRDefault="00000000" w:rsidRPr="00000000" w14:paraId="00000086">
      <w:pPr>
        <w:pStyle w:val="Heading1"/>
        <w:rPr/>
      </w:pPr>
      <w:bookmarkStart w:colFirst="0" w:colLast="0" w:name="_p8n0zlwfsduz" w:id="10"/>
      <w:bookmarkEnd w:id="10"/>
      <w:r w:rsidDel="00000000" w:rsidR="00000000" w:rsidRPr="00000000">
        <w:rPr>
          <w:rtl w:val="0"/>
        </w:rPr>
        <w:t xml:space="preserve">Harvesting</w:t>
      </w:r>
    </w:p>
    <w:p w:rsidR="00000000" w:rsidDel="00000000" w:rsidP="00000000" w:rsidRDefault="00000000" w:rsidRPr="00000000" w14:paraId="00000087">
      <w:pPr>
        <w:rPr/>
      </w:pPr>
      <w:r w:rsidDel="00000000" w:rsidR="00000000" w:rsidRPr="00000000">
        <w:rPr>
          <w:rtl w:val="0"/>
        </w:rPr>
        <w:t xml:space="preserve">One cut harvesting standard practice</w:t>
      </w:r>
    </w:p>
    <w:p w:rsidR="00000000" w:rsidDel="00000000" w:rsidP="00000000" w:rsidRDefault="00000000" w:rsidRPr="00000000" w14:paraId="00000088">
      <w:pPr>
        <w:rPr/>
      </w:pPr>
      <w:r w:rsidDel="00000000" w:rsidR="00000000" w:rsidRPr="00000000">
        <w:rPr>
          <w:rtl w:val="0"/>
        </w:rPr>
        <w:t xml:space="preserve">Clipped as close to stem base as possible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1"/>
        <w:rPr/>
      </w:pPr>
      <w:bookmarkStart w:colFirst="0" w:colLast="0" w:name="_ehdiugo0feg3" w:id="11"/>
      <w:bookmarkEnd w:id="11"/>
      <w:r w:rsidDel="00000000" w:rsidR="00000000" w:rsidRPr="00000000">
        <w:rPr>
          <w:rtl w:val="0"/>
        </w:rPr>
        <w:t xml:space="preserve">Micro Greens Yield Trial</w:t>
      </w:r>
    </w:p>
    <w:p w:rsidR="00000000" w:rsidDel="00000000" w:rsidP="00000000" w:rsidRDefault="00000000" w:rsidRPr="00000000" w14:paraId="0000008C">
      <w:pPr>
        <w:pStyle w:val="Heading2"/>
        <w:rPr/>
      </w:pPr>
      <w:bookmarkStart w:colFirst="0" w:colLast="0" w:name="_yhjqmuackqu3" w:id="12"/>
      <w:bookmarkEnd w:id="12"/>
      <w:hyperlink r:id="rId27">
        <w:r w:rsidDel="00000000" w:rsidR="00000000" w:rsidRPr="00000000">
          <w:rPr>
            <w:color w:val="1155cc"/>
            <w:u w:val="single"/>
            <w:rtl w:val="0"/>
          </w:rPr>
          <w:t xml:space="preserve">Johnny’s Micro Greens Yield Trial:</w:t>
        </w:r>
      </w:hyperlink>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5943600" cy="4787900"/>
            <wp:effectExtent b="0" l="0" r="0" t="0"/>
            <wp:docPr id="1"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Title"/>
        <w:rPr/>
      </w:pPr>
      <w:bookmarkStart w:colFirst="0" w:colLast="0" w:name="_ucvdjtdxx8e5" w:id="13"/>
      <w:bookmarkEnd w:id="13"/>
      <w:hyperlink r:id="rId29">
        <w:r w:rsidDel="00000000" w:rsidR="00000000" w:rsidRPr="00000000">
          <w:rPr>
            <w:color w:val="1155cc"/>
            <w:u w:val="single"/>
            <w:rtl w:val="0"/>
          </w:rPr>
          <w:t xml:space="preserve">Actahort -ISHS</w:t>
        </w:r>
      </w:hyperlink>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Keywords: microgreens substrate</w:t>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Light quality: growth and nutritional value of microgreens under indoor and greenhouse conditions</w:t>
      </w:r>
    </w:p>
    <w:p w:rsidR="00000000" w:rsidDel="00000000" w:rsidP="00000000" w:rsidRDefault="00000000" w:rsidRPr="00000000" w14:paraId="00000092">
      <w:pPr>
        <w:rPr/>
      </w:pPr>
      <w:r w:rsidDel="00000000" w:rsidR="00000000" w:rsidRPr="00000000">
        <w:rPr>
          <w:rtl w:val="0"/>
        </w:rPr>
        <w:t xml:space="preserve">Cultivated under LEDs</w:t>
      </w:r>
    </w:p>
    <w:p w:rsidR="00000000" w:rsidDel="00000000" w:rsidP="00000000" w:rsidRDefault="00000000" w:rsidRPr="00000000" w14:paraId="00000093">
      <w:pPr>
        <w:rPr>
          <w:b w:val="1"/>
        </w:rPr>
      </w:pPr>
      <w:r w:rsidDel="00000000" w:rsidR="00000000" w:rsidRPr="00000000">
        <w:rPr>
          <w:b w:val="1"/>
          <w:rtl w:val="0"/>
        </w:rPr>
        <w:t xml:space="preserve">Indoor</w:t>
      </w:r>
    </w:p>
    <w:p w:rsidR="00000000" w:rsidDel="00000000" w:rsidP="00000000" w:rsidRDefault="00000000" w:rsidRPr="00000000" w14:paraId="00000094">
      <w:pPr>
        <w:rPr/>
      </w:pPr>
      <w:r w:rsidDel="00000000" w:rsidR="00000000" w:rsidRPr="00000000">
        <w:rPr>
          <w:rtl w:val="0"/>
        </w:rPr>
        <w:t xml:space="preserve">Main</w:t>
      </w:r>
    </w:p>
    <w:p w:rsidR="00000000" w:rsidDel="00000000" w:rsidP="00000000" w:rsidRDefault="00000000" w:rsidRPr="00000000" w14:paraId="00000095">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Wavelength (nm)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731</w:t>
            </w:r>
          </w:p>
        </w:tc>
      </w:tr>
    </w:tbl>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Supplemental</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560"/>
        <w:gridCol w:w="1350"/>
        <w:gridCol w:w="945"/>
        <w:gridCol w:w="1350"/>
        <w:gridCol w:w="1350"/>
        <w:gridCol w:w="1350"/>
        <w:tblGridChange w:id="0">
          <w:tblGrid>
            <w:gridCol w:w="1455"/>
            <w:gridCol w:w="1560"/>
            <w:gridCol w:w="1350"/>
            <w:gridCol w:w="945"/>
            <w:gridCol w:w="1350"/>
            <w:gridCol w:w="1350"/>
            <w:gridCol w:w="13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Wavelength (nm)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Positives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Antioxidant Accumulation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Antioxidant Accumulation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Nitrate Reduction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Antioxidant System Indices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Nitrate Reduction</w:t>
            </w:r>
          </w:p>
        </w:tc>
      </w:tr>
    </w:tbl>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Results</w:t>
      </w:r>
    </w:p>
    <w:p w:rsidR="00000000" w:rsidDel="00000000" w:rsidP="00000000" w:rsidRDefault="00000000" w:rsidRPr="00000000" w14:paraId="000000AD">
      <w:pPr>
        <w:rPr>
          <w:highlight w:val="white"/>
        </w:rPr>
      </w:pPr>
      <w:r w:rsidDel="00000000" w:rsidR="00000000" w:rsidRPr="00000000">
        <w:rPr>
          <w:highlight w:val="white"/>
          <w:rtl w:val="0"/>
        </w:rPr>
        <w:t xml:space="preserve">Short-term (3-days before harvesting) lighting with high PPFD level of red (638 nm) LEDs increased the amounts of the secondary metabolites of microgreens under both cultivation conditions.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Title"/>
        <w:rPr/>
      </w:pPr>
      <w:bookmarkStart w:colFirst="0" w:colLast="0" w:name="_ch0llymx78g5" w:id="14"/>
      <w:bookmarkEnd w:id="14"/>
      <w:r w:rsidDel="00000000" w:rsidR="00000000" w:rsidRPr="00000000">
        <w:rPr>
          <w:rtl w:val="0"/>
        </w:rPr>
        <w:t xml:space="preserve">Lighting De Gruyter</w:t>
      </w:r>
    </w:p>
    <w:p w:rsidR="00000000" w:rsidDel="00000000" w:rsidP="00000000" w:rsidRDefault="00000000" w:rsidRPr="00000000" w14:paraId="000000B0">
      <w:pPr>
        <w:rPr/>
      </w:pPr>
      <w:hyperlink r:id="rId30">
        <w:r w:rsidDel="00000000" w:rsidR="00000000" w:rsidRPr="00000000">
          <w:rPr>
            <w:color w:val="1155cc"/>
            <w:u w:val="single"/>
            <w:rtl w:val="0"/>
          </w:rPr>
          <w:t xml:space="preserve">Effect of supplemental UV-A irradiation in solid-state lighting on the growth and phytochemical content of microgreens**</w:t>
        </w:r>
      </w:hyperlink>
      <w:r w:rsidDel="00000000" w:rsidR="00000000" w:rsidRPr="00000000">
        <w:rPr>
          <w:rtl w:val="0"/>
        </w:rPr>
      </w:r>
    </w:p>
    <w:p w:rsidR="00000000" w:rsidDel="00000000" w:rsidP="00000000" w:rsidRDefault="00000000" w:rsidRPr="00000000" w14:paraId="000000B1">
      <w:pPr>
        <w:rPr/>
      </w:pPr>
      <w:r w:rsidDel="00000000" w:rsidR="00000000" w:rsidRPr="00000000">
        <w:rPr/>
        <w:drawing>
          <wp:inline distB="114300" distT="114300" distL="114300" distR="114300">
            <wp:extent cx="5943600" cy="2286000"/>
            <wp:effectExtent b="0" l="0" r="0" t="0"/>
            <wp:docPr id="5"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5943600" cy="6883400"/>
            <wp:effectExtent b="0" l="0" r="0" t="0"/>
            <wp:docPr id="4"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943600" cy="68834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5943600" cy="7264400"/>
            <wp:effectExtent b="0" l="0" r="0" t="0"/>
            <wp:docPr id="2"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72644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Takeaways</w:t>
      </w:r>
    </w:p>
    <w:p w:rsidR="00000000" w:rsidDel="00000000" w:rsidP="00000000" w:rsidRDefault="00000000" w:rsidRPr="00000000" w14:paraId="000000B5">
      <w:pPr>
        <w:rPr/>
      </w:pPr>
      <w:r w:rsidDel="00000000" w:rsidR="00000000" w:rsidRPr="00000000">
        <w:rPr>
          <w:rtl w:val="0"/>
        </w:rPr>
        <w:t xml:space="preserve">1. Depending on species, UV-A irradiation supplemental for basal LED illumination can improve the antioxidant properties of microgreens. In many cases, a significant increase was found under the 366 and 390 nm UV-A wavelengths and the higher intensity photon flux density 12.4 μmol m-2 s-1. </w:t>
      </w:r>
    </w:p>
    <w:p w:rsidR="00000000" w:rsidDel="00000000" w:rsidP="00000000" w:rsidRDefault="00000000" w:rsidRPr="00000000" w14:paraId="000000B6">
      <w:pPr>
        <w:rPr/>
      </w:pPr>
      <w:r w:rsidDel="00000000" w:rsidR="00000000" w:rsidRPr="00000000">
        <w:rPr>
          <w:rtl w:val="0"/>
        </w:rPr>
        <w:t xml:space="preserve">2. The most positive effect of supplemental UV-A irradiation in basal illumination was observed on the pak choi microgreens. Almost all supplemental UV-A wavelengths, especially at the photon flux density 12.4 μmol m-2 s-1 increased leaf area and fresh weight, DPPH free-radical scavenging activity, total phenols, anthocyanins, ascorbic acid, and α-tocopherol. </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Merriweather" w:cs="Merriweather" w:eastAsia="Merriweather" w:hAnsi="Merriweathe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Merriweather" w:cs="Merriweather" w:eastAsia="Merriweather" w:hAnsi="Merriweathe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journals.ashs.org/jashs/view/journals/jashs/139/4/article-p469.xml" TargetMode="External"/><Relationship Id="rId22" Type="http://schemas.openxmlformats.org/officeDocument/2006/relationships/hyperlink" Target="https://www.actahort.org/books/440/440_36.htm" TargetMode="External"/><Relationship Id="rId21" Type="http://schemas.openxmlformats.org/officeDocument/2006/relationships/image" Target="media/image5.png"/><Relationship Id="rId24" Type="http://schemas.openxmlformats.org/officeDocument/2006/relationships/hyperlink" Target="https://www.o2grow.com/" TargetMode="External"/><Relationship Id="rId23" Type="http://schemas.openxmlformats.org/officeDocument/2006/relationships/hyperlink" Target="https://www.sciencedirect.com/science/article/abs/pii/S030442380700120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johnnyseeds.com/search/?q=clear+domes" TargetMode="External"/><Relationship Id="rId26" Type="http://schemas.openxmlformats.org/officeDocument/2006/relationships/hyperlink" Target="https://www.sciencedirect.com/science/article/abs/pii/0304423889900782" TargetMode="External"/><Relationship Id="rId25" Type="http://schemas.openxmlformats.org/officeDocument/2006/relationships/hyperlink" Target="https://www.sciencedirect.com/science/article/abs/pii/0304423886900130" TargetMode="External"/><Relationship Id="rId28" Type="http://schemas.openxmlformats.org/officeDocument/2006/relationships/image" Target="media/image4.png"/><Relationship Id="rId27" Type="http://schemas.openxmlformats.org/officeDocument/2006/relationships/hyperlink" Target="https://www.johnnyseeds.com/growers-library/vegetables/micro-greens-yield-trial-results-tech-sheet.html" TargetMode="External"/><Relationship Id="rId5" Type="http://schemas.openxmlformats.org/officeDocument/2006/relationships/styles" Target="styles.xml"/><Relationship Id="rId6" Type="http://schemas.openxmlformats.org/officeDocument/2006/relationships/hyperlink" Target="https://www.johnnyseeds.com/growers-library/vegetables/year-round-micro-greens-production.html" TargetMode="External"/><Relationship Id="rId29" Type="http://schemas.openxmlformats.org/officeDocument/2006/relationships/hyperlink" Target="https://www.actahort.org/members/showpdf?booknrarnr=1134_37" TargetMode="External"/><Relationship Id="rId7" Type="http://schemas.openxmlformats.org/officeDocument/2006/relationships/hyperlink" Target="https://www.johnnyseeds.com/tools-supplies/seed-starting-supplies/growing-mixes/" TargetMode="External"/><Relationship Id="rId8" Type="http://schemas.openxmlformats.org/officeDocument/2006/relationships/hyperlink" Target="https://www.johnnyseeds.com/tools-supplies/seed-starting-supplies/trays-domes-and-flats/" TargetMode="External"/><Relationship Id="rId31" Type="http://schemas.openxmlformats.org/officeDocument/2006/relationships/image" Target="media/image1.png"/><Relationship Id="rId30" Type="http://schemas.openxmlformats.org/officeDocument/2006/relationships/hyperlink" Target="https://www.degruyter.com/view/journals/biol/8/12/article-p1241.xml" TargetMode="External"/><Relationship Id="rId11" Type="http://schemas.openxmlformats.org/officeDocument/2006/relationships/hyperlink" Target="https://www.johnnyseeds.com/growers-library/tools-supplies/quickhoops-seedling-and-micro-greens-bench-construction-guide.html" TargetMode="External"/><Relationship Id="rId33" Type="http://schemas.openxmlformats.org/officeDocument/2006/relationships/image" Target="media/image3.png"/><Relationship Id="rId10" Type="http://schemas.openxmlformats.org/officeDocument/2006/relationships/hyperlink" Target="https://www.johnnyseeds.com/tools-supplies/seed-starting-supplies/seedling-heat-mats/" TargetMode="External"/><Relationship Id="rId32" Type="http://schemas.openxmlformats.org/officeDocument/2006/relationships/image" Target="media/image2.png"/><Relationship Id="rId13" Type="http://schemas.openxmlformats.org/officeDocument/2006/relationships/hyperlink" Target="https://www.waveformlighting.com/horticulture/convert-lux-to-ppfd-online-calculator" TargetMode="External"/><Relationship Id="rId12" Type="http://schemas.openxmlformats.org/officeDocument/2006/relationships/hyperlink" Target="https://www.johnnyseeds.com/growers-library/hydroponics-information-guide.html" TargetMode="External"/><Relationship Id="rId15" Type="http://schemas.openxmlformats.org/officeDocument/2006/relationships/hyperlink" Target="https://docs.lib.purdue.edu/cgi/viewcontent.cgi?article=1352&amp;context=open_access_theses" TargetMode="External"/><Relationship Id="rId14" Type="http://schemas.openxmlformats.org/officeDocument/2006/relationships/hyperlink" Target="https://learnsativa.org/lux-to-par-calculator/" TargetMode="External"/><Relationship Id="rId17" Type="http://schemas.openxmlformats.org/officeDocument/2006/relationships/hyperlink" Target="https://horticulturelightinggroup.com/blogs/calculators/converting-ppfd-to-dli" TargetMode="External"/><Relationship Id="rId16" Type="http://schemas.openxmlformats.org/officeDocument/2006/relationships/hyperlink" Target="https://www.degruyter.com/view/journals/biol/8/12/article-p1241.xml" TargetMode="External"/><Relationship Id="rId19" Type="http://schemas.openxmlformats.org/officeDocument/2006/relationships/hyperlink" Target="https://journals.ashs.org/hortsci/view/journals/hortsci/54/11/article-p1955.xml" TargetMode="External"/><Relationship Id="rId18" Type="http://schemas.openxmlformats.org/officeDocument/2006/relationships/hyperlink" Target="https://www.sciencedirect.com/science/article/abs/pii/S030442381930743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