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"/>
        <w:jc w:val="center"/>
        <w:rPr>
          <w:rFonts w:ascii="Times New Roman" w:cs="Times New Roman" w:eastAsia="宋体" w:hAnsi="Times New Roman"/>
          <w:b w:val="false"/>
          <w:bCs/>
          <w:sz w:val="24"/>
        </w:rPr>
      </w:pPr>
      <w:r>
        <w:rPr>
          <w:rFonts w:ascii="Times New Roman" w:cs="Times New Roman" w:hAnsi="Times New Roman"/>
          <w:sz w:val="24"/>
        </w:rPr>
        <w:t>Pharmacophore</w:t>
      </w:r>
      <w:r>
        <w:rPr>
          <w:rFonts w:ascii="Times New Roman" w:cs="Times New Roman" w:hAnsi="Times New Roman"/>
          <w:sz w:val="24"/>
        </w:rPr>
        <w:t xml:space="preserve"> Modeling: A Key to Unlocking Novel Cancer Therapies</w:t>
      </w:r>
    </w:p>
    <w:bookmarkStart w:id="0" w:name="_GoBack"/>
    <w:bookmarkEnd w:id="0"/>
    <w:p>
      <w:pPr>
        <w:pStyle w:val="style0"/>
        <w:spacing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Pharmacophore</w:t>
      </w:r>
      <w:r>
        <w:rPr>
          <w:rFonts w:ascii="Times New Roman" w:cs="Times New Roman" w:hAnsi="Times New Roman"/>
          <w:sz w:val="24"/>
        </w:rPr>
        <w:t xml:space="preserve"> modeling is a crucial concept in drug discovery, particularly in the development of cancer therapeutics. It involves the identification of specific molecular features, or </w:t>
      </w:r>
      <w:r>
        <w:rPr>
          <w:rFonts w:ascii="Times New Roman" w:cs="Times New Roman" w:hAnsi="Times New Roman"/>
          <w:sz w:val="24"/>
        </w:rPr>
        <w:t>pharmacophores</w:t>
      </w:r>
      <w:r>
        <w:rPr>
          <w:rFonts w:ascii="Times New Roman" w:cs="Times New Roman" w:hAnsi="Times New Roman"/>
          <w:sz w:val="24"/>
        </w:rPr>
        <w:t>, that are responsible for th</w:t>
      </w:r>
      <w:r>
        <w:rPr>
          <w:rFonts w:ascii="Times New Roman" w:cs="Times New Roman" w:hAnsi="Times New Roman"/>
          <w:sz w:val="24"/>
        </w:rPr>
        <w:t xml:space="preserve">e biological activity of a </w:t>
      </w:r>
      <w:r>
        <w:rPr>
          <w:rFonts w:ascii="Times New Roman" w:cs="Times New Roman" w:hAnsi="Times New Roman"/>
          <w:sz w:val="24"/>
        </w:rPr>
        <w:t>drug(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>Giordano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i/>
          <w:color w:val="212121"/>
          <w:sz w:val="24"/>
          <w:shd w:val="clear" w:color="auto" w:fill="ffffff"/>
        </w:rPr>
        <w:t>et al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 xml:space="preserve"> 2022</w:t>
      </w:r>
      <w:r>
        <w:rPr>
          <w:rFonts w:ascii="Times New Roman" w:cs="Times New Roman" w:hAnsi="Times New Roman"/>
          <w:sz w:val="24"/>
        </w:rPr>
        <w:t>)</w:t>
      </w:r>
      <w:r>
        <w:rPr>
          <w:rFonts w:ascii="Times New Roman" w:cs="Times New Roman" w:hAnsi="Times New Roman"/>
          <w:sz w:val="24"/>
        </w:rPr>
        <w:t>.</w:t>
      </w:r>
      <w:r>
        <w:rPr>
          <w:rFonts w:ascii="Times New Roman" w:cs="Times New Roman" w:hAnsi="Times New Roman"/>
          <w:sz w:val="24"/>
        </w:rPr>
        <w:t xml:space="preserve"> These </w:t>
      </w:r>
      <w:r>
        <w:rPr>
          <w:rFonts w:ascii="Times New Roman" w:cs="Times New Roman" w:hAnsi="Times New Roman"/>
          <w:sz w:val="24"/>
        </w:rPr>
        <w:t>pharmacophores</w:t>
      </w:r>
      <w:r>
        <w:rPr>
          <w:rFonts w:ascii="Times New Roman" w:cs="Times New Roman" w:hAnsi="Times New Roman"/>
          <w:sz w:val="24"/>
        </w:rPr>
        <w:t xml:space="preserve"> are three-dimensional arrangements of functional groups that interact with target proteins, such as enzymes or receptors, to produce a desired therapeutic effe</w:t>
      </w:r>
      <w:r>
        <w:rPr>
          <w:rFonts w:ascii="Times New Roman" w:cs="Times New Roman" w:hAnsi="Times New Roman"/>
          <w:sz w:val="24"/>
        </w:rPr>
        <w:t>ct.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In cancer drug discovery, </w:t>
      </w:r>
      <w:r>
        <w:rPr>
          <w:rFonts w:ascii="Times New Roman" w:cs="Times New Roman" w:hAnsi="Times New Roman"/>
          <w:sz w:val="24"/>
        </w:rPr>
        <w:t>pharmacophore</w:t>
      </w:r>
      <w:r>
        <w:rPr>
          <w:rFonts w:ascii="Times New Roman" w:cs="Times New Roman" w:hAnsi="Times New Roman"/>
          <w:sz w:val="24"/>
        </w:rPr>
        <w:t xml:space="preserve"> modeling plays a vital role in identifying potential lead compounds that can selectively target cancer cell</w:t>
      </w:r>
      <w:r>
        <w:rPr>
          <w:rFonts w:ascii="Times New Roman" w:cs="Times New Roman" w:hAnsi="Times New Roman"/>
          <w:sz w:val="24"/>
        </w:rPr>
        <w:t xml:space="preserve">s while sparing healthy </w:t>
      </w:r>
      <w:r>
        <w:rPr>
          <w:rFonts w:ascii="Times New Roman" w:cs="Times New Roman" w:hAnsi="Times New Roman"/>
          <w:sz w:val="24"/>
        </w:rPr>
        <w:t>tissues(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>Ntie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 xml:space="preserve">-Kang </w:t>
      </w:r>
      <w:r>
        <w:rPr>
          <w:rFonts w:ascii="Times New Roman" w:cs="Times New Roman" w:hAnsi="Times New Roman"/>
          <w:i/>
          <w:color w:val="212121"/>
          <w:sz w:val="24"/>
          <w:shd w:val="clear" w:color="auto" w:fill="ffffff"/>
        </w:rPr>
        <w:t>et al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 xml:space="preserve"> 2016</w:t>
      </w:r>
      <w:r>
        <w:rPr>
          <w:rFonts w:ascii="Times New Roman" w:cs="Times New Roman" w:hAnsi="Times New Roman"/>
          <w:sz w:val="24"/>
        </w:rPr>
        <w:t>)</w:t>
      </w:r>
      <w:r>
        <w:rPr>
          <w:rFonts w:ascii="Times New Roman" w:cs="Times New Roman" w:hAnsi="Times New Roman"/>
          <w:sz w:val="24"/>
        </w:rPr>
        <w:t>.</w:t>
      </w:r>
      <w:r>
        <w:rPr>
          <w:rFonts w:ascii="Times New Roman" w:cs="Times New Roman" w:hAnsi="Times New Roman"/>
          <w:sz w:val="24"/>
        </w:rPr>
        <w:t xml:space="preserve"> By analyzing the molecular structure of known anti-cancer agents, resea</w:t>
      </w:r>
      <w:r>
        <w:rPr>
          <w:rFonts w:ascii="Times New Roman" w:cs="Times New Roman" w:hAnsi="Times New Roman"/>
          <w:sz w:val="24"/>
        </w:rPr>
        <w:t xml:space="preserve">rchers can identify common </w:t>
      </w:r>
      <w:r>
        <w:rPr>
          <w:rFonts w:ascii="Times New Roman" w:cs="Times New Roman" w:hAnsi="Times New Roman"/>
          <w:sz w:val="24"/>
        </w:rPr>
        <w:t>pharmacophores</w:t>
      </w:r>
      <w:r>
        <w:rPr>
          <w:rFonts w:ascii="Times New Roman" w:cs="Times New Roman" w:hAnsi="Times New Roman"/>
          <w:sz w:val="24"/>
        </w:rPr>
        <w:t xml:space="preserve"> that contribute to their activity. These </w:t>
      </w:r>
      <w:r>
        <w:rPr>
          <w:rFonts w:ascii="Times New Roman" w:cs="Times New Roman" w:hAnsi="Times New Roman"/>
          <w:sz w:val="24"/>
        </w:rPr>
        <w:t>pharmacophores</w:t>
      </w:r>
      <w:r>
        <w:rPr>
          <w:rFonts w:ascii="Times New Roman" w:cs="Times New Roman" w:hAnsi="Times New Roman"/>
          <w:sz w:val="24"/>
        </w:rPr>
        <w:t xml:space="preserve"> can then be used as templates to design new compounds that are more potent, selective, and less toxic.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For example, the </w:t>
      </w:r>
      <w:r>
        <w:rPr>
          <w:rFonts w:ascii="Times New Roman" w:cs="Times New Roman" w:hAnsi="Times New Roman"/>
          <w:sz w:val="24"/>
        </w:rPr>
        <w:t>pharmacophore</w:t>
      </w:r>
      <w:r>
        <w:rPr>
          <w:rFonts w:ascii="Times New Roman" w:cs="Times New Roman" w:hAnsi="Times New Roman"/>
          <w:sz w:val="24"/>
        </w:rPr>
        <w:t xml:space="preserve"> model of the anti-cance</w:t>
      </w:r>
      <w:r>
        <w:rPr>
          <w:rFonts w:ascii="Times New Roman" w:cs="Times New Roman" w:hAnsi="Times New Roman"/>
          <w:sz w:val="24"/>
        </w:rPr>
        <w:t xml:space="preserve">r drug </w:t>
      </w:r>
      <w:r>
        <w:rPr>
          <w:rFonts w:ascii="Times New Roman" w:cs="Times New Roman" w:hAnsi="Times New Roman"/>
          <w:sz w:val="24"/>
        </w:rPr>
        <w:t>tamoxifen</w:t>
      </w:r>
      <w:r>
        <w:rPr>
          <w:rFonts w:ascii="Times New Roman" w:cs="Times New Roman" w:hAnsi="Times New Roman"/>
          <w:sz w:val="24"/>
        </w:rPr>
        <w:t xml:space="preserve"> has been used to design new compounds that target estrogen rec</w:t>
      </w:r>
      <w:r>
        <w:rPr>
          <w:rFonts w:ascii="Times New Roman" w:cs="Times New Roman" w:hAnsi="Times New Roman"/>
          <w:sz w:val="24"/>
        </w:rPr>
        <w:t>eptors in breast cancer cells (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>Muchtaridi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i/>
          <w:color w:val="212121"/>
          <w:sz w:val="24"/>
          <w:shd w:val="clear" w:color="auto" w:fill="ffffff"/>
        </w:rPr>
        <w:t>et al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 xml:space="preserve"> 2017</w:t>
      </w:r>
      <w:r>
        <w:rPr>
          <w:rFonts w:ascii="Times New Roman" w:cs="Times New Roman" w:hAnsi="Times New Roman"/>
          <w:sz w:val="24"/>
        </w:rPr>
        <w:t xml:space="preserve">). Similarly, the </w:t>
      </w:r>
      <w:r>
        <w:rPr>
          <w:rFonts w:ascii="Times New Roman" w:cs="Times New Roman" w:hAnsi="Times New Roman"/>
          <w:sz w:val="24"/>
        </w:rPr>
        <w:t>pharmacophore</w:t>
      </w:r>
      <w:r>
        <w:rPr>
          <w:rFonts w:ascii="Times New Roman" w:cs="Times New Roman" w:hAnsi="Times New Roman"/>
          <w:sz w:val="24"/>
        </w:rPr>
        <w:t xml:space="preserve"> model of the drug </w:t>
      </w:r>
      <w:r>
        <w:rPr>
          <w:rFonts w:ascii="Times New Roman" w:cs="Times New Roman" w:hAnsi="Times New Roman"/>
          <w:sz w:val="24"/>
        </w:rPr>
        <w:t>imatinib</w:t>
      </w:r>
      <w:r>
        <w:rPr>
          <w:rFonts w:ascii="Times New Roman" w:cs="Times New Roman" w:hAnsi="Times New Roman"/>
          <w:sz w:val="24"/>
        </w:rPr>
        <w:t xml:space="preserve"> has been used to develop new inhibitors of the BCR-ABL </w:t>
      </w:r>
      <w:r>
        <w:rPr>
          <w:rFonts w:ascii="Times New Roman" w:cs="Times New Roman" w:hAnsi="Times New Roman"/>
          <w:sz w:val="24"/>
        </w:rPr>
        <w:t>kinase</w:t>
      </w:r>
      <w:r>
        <w:rPr>
          <w:rFonts w:ascii="Times New Roman" w:cs="Times New Roman" w:hAnsi="Times New Roman"/>
          <w:sz w:val="24"/>
        </w:rPr>
        <w:t>, a key target in chronic</w:t>
      </w:r>
      <w:r>
        <w:rPr>
          <w:rFonts w:ascii="Times New Roman" w:cs="Times New Roman" w:hAnsi="Times New Roman"/>
          <w:sz w:val="24"/>
        </w:rPr>
        <w:t xml:space="preserve"> myeloid </w:t>
      </w:r>
      <w:r>
        <w:rPr>
          <w:rFonts w:ascii="Times New Roman" w:cs="Times New Roman" w:hAnsi="Times New Roman"/>
          <w:sz w:val="24"/>
        </w:rPr>
        <w:t>leukemia(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>Huang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i/>
          <w:color w:val="212121"/>
          <w:sz w:val="24"/>
          <w:shd w:val="clear" w:color="auto" w:fill="ffffff"/>
        </w:rPr>
        <w:t>et al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 xml:space="preserve"> 2021</w:t>
      </w:r>
      <w:r>
        <w:rPr>
          <w:rFonts w:ascii="Times New Roman" w:cs="Times New Roman" w:hAnsi="Times New Roman"/>
          <w:sz w:val="24"/>
        </w:rPr>
        <w:t>)</w:t>
      </w:r>
      <w:r>
        <w:rPr>
          <w:rFonts w:ascii="Times New Roman" w:cs="Times New Roman" w:hAnsi="Times New Roman"/>
          <w:sz w:val="24"/>
        </w:rPr>
        <w:t>.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Pharmacophore</w:t>
      </w:r>
      <w:r>
        <w:rPr>
          <w:rFonts w:ascii="Times New Roman" w:cs="Times New Roman" w:hAnsi="Times New Roman"/>
          <w:sz w:val="24"/>
        </w:rPr>
        <w:t xml:space="preserve"> modeling has also been applied to the discovery of new cancer therapeutics that target specific molecular pathway</w:t>
      </w:r>
      <w:r>
        <w:rPr>
          <w:rFonts w:ascii="Times New Roman" w:cs="Times New Roman" w:hAnsi="Times New Roman"/>
          <w:sz w:val="24"/>
        </w:rPr>
        <w:t>s, such as the PI3K/AKT pathway(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Iwaloye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 </w:t>
      </w:r>
      <w:r>
        <w:rPr>
          <w:rFonts w:ascii="Times New Roman" w:cs="Times New Roman" w:eastAsia="Times New Roman" w:hAnsi="Times New Roman"/>
          <w:i/>
          <w:kern w:val="0"/>
          <w:sz w:val="24"/>
          <w:lang w:eastAsia="en-US"/>
        </w:rPr>
        <w:t>et al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 2023</w:t>
      </w:r>
      <w:r>
        <w:rPr>
          <w:rFonts w:ascii="Times New Roman" w:cs="Times New Roman" w:hAnsi="Times New Roman"/>
          <w:sz w:val="24"/>
        </w:rPr>
        <w:t>)</w:t>
      </w:r>
      <w:r>
        <w:rPr>
          <w:rFonts w:ascii="Times New Roman" w:cs="Times New Roman" w:hAnsi="Times New Roman"/>
          <w:sz w:val="24"/>
        </w:rPr>
        <w:t xml:space="preserve"> By identifying </w:t>
      </w:r>
      <w:r>
        <w:rPr>
          <w:rFonts w:ascii="Times New Roman" w:cs="Times New Roman" w:hAnsi="Times New Roman"/>
          <w:sz w:val="24"/>
        </w:rPr>
        <w:t>pharmacophores</w:t>
      </w:r>
      <w:r>
        <w:rPr>
          <w:rFonts w:ascii="Times New Roman" w:cs="Times New Roman" w:hAnsi="Times New Roman"/>
          <w:sz w:val="24"/>
        </w:rPr>
        <w:t xml:space="preserve"> that interact with key proteins in this pathw</w:t>
      </w:r>
      <w:r>
        <w:rPr>
          <w:rFonts w:ascii="Times New Roman" w:cs="Times New Roman" w:hAnsi="Times New Roman"/>
          <w:sz w:val="24"/>
        </w:rPr>
        <w:t>ay, researchers have been able to design compounds that selectively inhibit cancer cell growth and survival.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The advantages of </w:t>
      </w:r>
      <w:r>
        <w:rPr>
          <w:rFonts w:ascii="Times New Roman" w:cs="Times New Roman" w:hAnsi="Times New Roman"/>
          <w:sz w:val="24"/>
        </w:rPr>
        <w:t>pharmacophore</w:t>
      </w:r>
      <w:r>
        <w:rPr>
          <w:rFonts w:ascii="Times New Roman" w:cs="Times New Roman" w:hAnsi="Times New Roman"/>
          <w:sz w:val="24"/>
        </w:rPr>
        <w:t xml:space="preserve"> modeling in cancer drug discovery are numerous. It allows for the rapid identification of potential lead compounds</w:t>
      </w:r>
      <w:r>
        <w:rPr>
          <w:rFonts w:ascii="Times New Roman" w:cs="Times New Roman" w:hAnsi="Times New Roman"/>
          <w:sz w:val="24"/>
        </w:rPr>
        <w:t xml:space="preserve">, reduces the need for extensive experimental screening, and enables the design of compounds with improved efficacy and reduced </w:t>
      </w:r>
      <w:r>
        <w:rPr>
          <w:rFonts w:ascii="Times New Roman" w:cs="Times New Roman" w:hAnsi="Times New Roman"/>
          <w:sz w:val="24"/>
        </w:rPr>
        <w:t>toxicity</w:t>
      </w:r>
      <w:r>
        <w:rPr>
          <w:rFonts w:ascii="Times New Roman" w:cs="Times New Roman" w:hAnsi="Times New Roman"/>
          <w:sz w:val="24"/>
        </w:rPr>
        <w:t>(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Giordano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 </w:t>
      </w:r>
      <w:r>
        <w:rPr>
          <w:rFonts w:ascii="Times New Roman" w:cs="Times New Roman" w:eastAsia="Times New Roman" w:hAnsi="Times New Roman"/>
          <w:i/>
          <w:kern w:val="0"/>
          <w:sz w:val="24"/>
          <w:lang w:eastAsia="en-US"/>
        </w:rPr>
        <w:t>et al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 2022</w:t>
      </w:r>
      <w:r>
        <w:rPr>
          <w:rFonts w:ascii="Times New Roman" w:cs="Times New Roman" w:hAnsi="Times New Roman"/>
          <w:sz w:val="24"/>
        </w:rPr>
        <w:t>)</w:t>
      </w:r>
      <w:r>
        <w:rPr>
          <w:rFonts w:ascii="Times New Roman" w:cs="Times New Roman" w:hAnsi="Times New Roman"/>
          <w:sz w:val="24"/>
        </w:rPr>
        <w:t>.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In addition, </w:t>
      </w:r>
      <w:r>
        <w:rPr>
          <w:rFonts w:ascii="Times New Roman" w:cs="Times New Roman" w:hAnsi="Times New Roman"/>
          <w:sz w:val="24"/>
        </w:rPr>
        <w:t>pharmacophore</w:t>
      </w:r>
      <w:r>
        <w:rPr>
          <w:rFonts w:ascii="Times New Roman" w:cs="Times New Roman" w:hAnsi="Times New Roman"/>
          <w:sz w:val="24"/>
        </w:rPr>
        <w:t xml:space="preserve"> modeling can be used to identify potential drug resistance mechanisms and design compounds</w:t>
      </w:r>
      <w:r>
        <w:rPr>
          <w:rFonts w:ascii="Times New Roman" w:cs="Times New Roman" w:hAnsi="Times New Roman"/>
          <w:sz w:val="24"/>
        </w:rPr>
        <w:t xml:space="preserve"> that can overcome these </w:t>
      </w:r>
      <w:r>
        <w:rPr>
          <w:rFonts w:ascii="Times New Roman" w:cs="Times New Roman" w:hAnsi="Times New Roman"/>
          <w:sz w:val="24"/>
        </w:rPr>
        <w:t>mechanisms</w:t>
      </w:r>
      <w:r>
        <w:rPr>
          <w:rFonts w:ascii="Times New Roman" w:cs="Times New Roman" w:hAnsi="Times New Roman"/>
          <w:sz w:val="24"/>
        </w:rPr>
        <w:t>(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Rahman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 </w:t>
      </w:r>
      <w:r>
        <w:rPr>
          <w:rFonts w:ascii="Times New Roman" w:cs="Times New Roman" w:eastAsia="Times New Roman" w:hAnsi="Times New Roman"/>
          <w:i/>
          <w:kern w:val="0"/>
          <w:sz w:val="24"/>
          <w:lang w:eastAsia="en-US"/>
        </w:rPr>
        <w:t>et al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 2023</w:t>
      </w:r>
      <w:r>
        <w:rPr>
          <w:rFonts w:ascii="Times New Roman" w:cs="Times New Roman" w:hAnsi="Times New Roman"/>
          <w:sz w:val="24"/>
        </w:rPr>
        <w:t>)</w:t>
      </w:r>
      <w:r>
        <w:rPr>
          <w:rFonts w:ascii="Times New Roman" w:cs="Times New Roman" w:hAnsi="Times New Roman"/>
          <w:sz w:val="24"/>
        </w:rPr>
        <w:t>. This is particularly important in cancer therapy, where drug resistance is a major obstacle to successful treatment.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In conclusion, </w:t>
      </w:r>
      <w:r>
        <w:rPr>
          <w:rFonts w:ascii="Times New Roman" w:cs="Times New Roman" w:hAnsi="Times New Roman"/>
          <w:sz w:val="24"/>
        </w:rPr>
        <w:t>pharmacophore</w:t>
      </w:r>
      <w:r>
        <w:rPr>
          <w:rFonts w:ascii="Times New Roman" w:cs="Times New Roman" w:hAnsi="Times New Roman"/>
          <w:sz w:val="24"/>
        </w:rPr>
        <w:t xml:space="preserve"> modeling is a powerful tool in drug discovery, particularly in the devel</w:t>
      </w:r>
      <w:r>
        <w:rPr>
          <w:rFonts w:ascii="Times New Roman" w:cs="Times New Roman" w:hAnsi="Times New Roman"/>
          <w:sz w:val="24"/>
        </w:rPr>
        <w:t xml:space="preserve">opment of cancer </w:t>
      </w:r>
      <w:r>
        <w:rPr>
          <w:rFonts w:ascii="Times New Roman" w:cs="Times New Roman" w:hAnsi="Times New Roman"/>
          <w:sz w:val="24"/>
        </w:rPr>
        <w:t>therapeutics</w:t>
      </w:r>
      <w:r>
        <w:rPr>
          <w:rFonts w:ascii="Times New Roman" w:cs="Times New Roman" w:hAnsi="Times New Roman"/>
          <w:sz w:val="24"/>
        </w:rPr>
        <w:t>(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Giordano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 </w:t>
      </w:r>
      <w:r>
        <w:rPr>
          <w:rFonts w:ascii="Times New Roman" w:cs="Times New Roman" w:eastAsia="Times New Roman" w:hAnsi="Times New Roman"/>
          <w:i/>
          <w:kern w:val="0"/>
          <w:sz w:val="24"/>
          <w:lang w:eastAsia="en-US"/>
        </w:rPr>
        <w:t>et al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 2022</w:t>
      </w:r>
      <w:r>
        <w:rPr>
          <w:rFonts w:ascii="Times New Roman" w:cs="Times New Roman" w:hAnsi="Times New Roman"/>
          <w:sz w:val="24"/>
        </w:rPr>
        <w:t>)</w:t>
      </w:r>
      <w:r>
        <w:rPr>
          <w:rFonts w:ascii="Times New Roman" w:cs="Times New Roman" w:hAnsi="Times New Roman"/>
          <w:sz w:val="24"/>
        </w:rPr>
        <w:t xml:space="preserve">. By identifying specific molecular features that contribute to biological activity, researchers can design new compounds that are more effective and less toxic. As our understanding of cancer biology continues to evolve, </w:t>
      </w:r>
      <w:r>
        <w:rPr>
          <w:rFonts w:ascii="Times New Roman" w:cs="Times New Roman" w:hAnsi="Times New Roman"/>
          <w:sz w:val="24"/>
        </w:rPr>
        <w:t>pharm</w:t>
      </w:r>
      <w:r>
        <w:rPr>
          <w:rFonts w:ascii="Times New Roman" w:cs="Times New Roman" w:hAnsi="Times New Roman"/>
          <w:sz w:val="24"/>
        </w:rPr>
        <w:t>acophore</w:t>
      </w:r>
      <w:r>
        <w:rPr>
          <w:rFonts w:ascii="Times New Roman" w:cs="Times New Roman" w:hAnsi="Times New Roman"/>
          <w:sz w:val="24"/>
        </w:rPr>
        <w:t xml:space="preserve"> modeling will play an increasingly important role in the discovery of new cancer therapeutics.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References:</w:t>
      </w:r>
    </w:p>
    <w:p>
      <w:pPr>
        <w:pStyle w:val="style0"/>
        <w:spacing w:lineRule="auto" w:line="360"/>
        <w:rPr>
          <w:rFonts w:ascii="Times New Roman" w:cs="Times New Roman" w:hAnsi="Times New Roman"/>
          <w:color w:val="212121"/>
          <w:sz w:val="24"/>
          <w:shd w:val="clear" w:color="auto" w:fill="ffffff"/>
        </w:rPr>
      </w:pP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 xml:space="preserve">Giordano D, 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>Biancaniello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 xml:space="preserve"> C, 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>Argenio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 xml:space="preserve"> MA, 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>Facchiano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 xml:space="preserve"> A. Drug Design by 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>Pharmacophore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 xml:space="preserve"> and Virtual Screening Approach. 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>Pharmaceuticals (Basel).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 xml:space="preserve"> 2022 May 23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>;15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 xml:space="preserve">(5):646. 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>doi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>: 10.3390/ph15050646. PMID: 35631472; PMCID: PMC9145410.</w:t>
      </w:r>
    </w:p>
    <w:p>
      <w:pPr>
        <w:pStyle w:val="style0"/>
        <w:spacing w:lineRule="auto" w:line="360"/>
        <w:rPr>
          <w:rFonts w:ascii="Times New Roman" w:cs="Times New Roman" w:hAnsi="Times New Roman"/>
          <w:color w:val="212121"/>
          <w:sz w:val="24"/>
          <w:shd w:val="clear" w:color="auto" w:fill="ffffff"/>
        </w:rPr>
      </w:pP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>Ntie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 xml:space="preserve">-Kang F, 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>Simoben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 xml:space="preserve"> CV, 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>Karaman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 xml:space="preserve"> B, 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>Ngwa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 xml:space="preserve"> VF, Judson PN, 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>Sippl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 xml:space="preserve"> W, 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>Mbaze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 xml:space="preserve"> LM. 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>Pharmacophore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 xml:space="preserve"> modeling and in 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>silico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 xml:space="preserve"> toxicity assessment of potential anticancer agents from African medicinal plants.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 xml:space="preserve"> Drug Des 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>Devel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>Ther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>. 2016 Jul 4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>;10:2137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 xml:space="preserve">-54. 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>doi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>: 10.2147/DDDT.S108118. PMID: 27445461; PMCID: PMC4938243.</w:t>
      </w:r>
    </w:p>
    <w:p>
      <w:pPr>
        <w:pStyle w:val="style0"/>
        <w:spacing w:lineRule="auto" w:line="360"/>
        <w:rPr>
          <w:rFonts w:ascii="Times New Roman" w:cs="Times New Roman" w:hAnsi="Times New Roman"/>
          <w:color w:val="212121"/>
          <w:sz w:val="24"/>
          <w:shd w:val="clear" w:color="auto" w:fill="ffffff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color w:val="212121"/>
          <w:sz w:val="24"/>
          <w:shd w:val="clear" w:color="auto" w:fill="ffffff"/>
        </w:rPr>
      </w:pP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>Muchtaridi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 xml:space="preserve"> M, 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>Syahidah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 xml:space="preserve"> HN, 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>Subarnas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 xml:space="preserve"> A, Yusuf M, Bryant SD, Langer T. Molecular Docking and 3D-Pharmacophore Modeling to Study the Interactions of 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>Chalcone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 xml:space="preserve"> Derivatives with Estrogen Receptor Alpha. 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>Pharmaceuticals (Basel).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 xml:space="preserve"> 2017 Oct 16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>;10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 xml:space="preserve">(4):81. 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>doi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>: 10.3390/ph10040081. PMID: 29035298; PMCID: PMC5748638.</w:t>
      </w:r>
    </w:p>
    <w:p>
      <w:pPr>
        <w:pStyle w:val="style0"/>
        <w:spacing w:lineRule="auto" w:line="360"/>
        <w:rPr>
          <w:rFonts w:ascii="Times New Roman" w:cs="Times New Roman" w:hAnsi="Times New Roman"/>
          <w:color w:val="212121"/>
          <w:sz w:val="24"/>
          <w:shd w:val="clear" w:color="auto" w:fill="ffffff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color w:val="212121"/>
          <w:sz w:val="24"/>
          <w:shd w:val="clear" w:color="auto" w:fill="ffffff"/>
        </w:rPr>
      </w:pP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 xml:space="preserve">Huang TT, Wang X, 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>Qiang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 xml:space="preserve"> SJ, Zhao ZN, Wu ZX, Ashby CR 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>Jr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 xml:space="preserve">, Li JZ, Chen ZS. 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 xml:space="preserve">The Discovery of Novel BCR-ABL Tyrosine 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>Kinase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 xml:space="preserve"> Inhibitors Using a 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>Pharmacophore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>Modeling and Virtual Screening Approach.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 xml:space="preserve"> Front Cell Dev Biol. 2021 Mar 4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>;9:649434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 xml:space="preserve">. 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>doi</w:t>
      </w:r>
      <w:r>
        <w:rPr>
          <w:rFonts w:ascii="Times New Roman" w:cs="Times New Roman" w:hAnsi="Times New Roman"/>
          <w:color w:val="212121"/>
          <w:sz w:val="24"/>
          <w:shd w:val="clear" w:color="auto" w:fill="ffffff"/>
        </w:rPr>
        <w:t>: 10.3389/fcell.2021.649434. PMID: 33748144; PMCID: PMC7969810.</w:t>
      </w:r>
    </w:p>
    <w:p>
      <w:pPr>
        <w:pStyle w:val="style0"/>
        <w:widowControl/>
        <w:spacing w:after="0" w:lineRule="auto" w:line="240"/>
        <w:jc w:val="left"/>
        <w:rPr>
          <w:rFonts w:ascii="Times New Roman" w:cs="Times New Roman" w:eastAsia="Times New Roman" w:hAnsi="Times New Roman"/>
          <w:kern w:val="0"/>
          <w:sz w:val="24"/>
          <w:lang w:eastAsia="en-US"/>
        </w:rPr>
      </w:pP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Iwaloye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, O., 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Ottu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, P. O., 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Olawale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, F., 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Babalola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, O. O., 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Elekofehinti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, O. O., 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Kikiowo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, B., 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Adegboyega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, A. E., 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Ogbonna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, H. N., 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Adeboboye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, C. F., 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Folorunso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, I. M., 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Fakayode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, A. E., 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Akinjiyan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, M. O., 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Onikanni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, S. A., &amp; 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Shityakov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, S. (2023). Computer-aided drug design in anti-cancer drug discovery: What have we learnt and what is the way forward? </w:t>
      </w:r>
      <w:r>
        <w:rPr>
          <w:rFonts w:ascii="Times New Roman" w:cs="Times New Roman" w:eastAsia="Times New Roman" w:hAnsi="Times New Roman"/>
          <w:i/>
          <w:iCs/>
          <w:kern w:val="0"/>
          <w:sz w:val="24"/>
          <w:lang w:eastAsia="en-US"/>
        </w:rPr>
        <w:t>Informatics in Medicine Unlocked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, </w:t>
      </w:r>
      <w:r>
        <w:rPr>
          <w:rFonts w:ascii="Times New Roman" w:cs="Times New Roman" w:eastAsia="Times New Roman" w:hAnsi="Times New Roman"/>
          <w:i/>
          <w:iCs/>
          <w:kern w:val="0"/>
          <w:sz w:val="24"/>
          <w:lang w:eastAsia="en-US"/>
        </w:rPr>
        <w:t>41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, 101332. </w:t>
      </w:r>
      <w:r>
        <w:rPr/>
        <w:fldChar w:fldCharType="begin"/>
      </w:r>
      <w:r>
        <w:instrText xml:space="preserve"> HYPERLINK "https://doi.org/10.1016/j.imu.2023.101332" </w:instrText>
      </w:r>
      <w:r>
        <w:rPr/>
        <w:fldChar w:fldCharType="separate"/>
      </w:r>
      <w:r>
        <w:rPr>
          <w:rStyle w:val="style85"/>
          <w:rFonts w:ascii="Times New Roman" w:cs="Times New Roman" w:eastAsia="Times New Roman" w:hAnsi="Times New Roman"/>
          <w:kern w:val="0"/>
          <w:sz w:val="24"/>
          <w:lang w:eastAsia="en-US"/>
        </w:rPr>
        <w:t>https://doi.org/10.1016/j.imu.2023.101332</w:t>
      </w:r>
      <w:r>
        <w:rPr/>
        <w:fldChar w:fldCharType="end"/>
      </w:r>
    </w:p>
    <w:p>
      <w:pPr>
        <w:pStyle w:val="style0"/>
        <w:widowControl/>
        <w:spacing w:after="0" w:lineRule="auto" w:line="240"/>
        <w:jc w:val="left"/>
        <w:rPr>
          <w:rFonts w:ascii="Times New Roman" w:cs="Times New Roman" w:eastAsia="Times New Roman" w:hAnsi="Times New Roman"/>
          <w:kern w:val="0"/>
          <w:sz w:val="24"/>
          <w:lang w:eastAsia="en-US"/>
        </w:rPr>
      </w:pPr>
    </w:p>
    <w:p>
      <w:pPr>
        <w:pStyle w:val="style0"/>
        <w:widowControl/>
        <w:spacing w:after="0" w:lineRule="auto" w:line="240"/>
        <w:jc w:val="left"/>
        <w:rPr>
          <w:rFonts w:ascii="Times New Roman" w:cs="Times New Roman" w:eastAsia="Times New Roman" w:hAnsi="Times New Roman"/>
          <w:kern w:val="0"/>
          <w:sz w:val="24"/>
          <w:lang w:eastAsia="en-US"/>
        </w:rPr>
      </w:pP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Giordano, D., 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Biancaniello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, C., 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Argenio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, M. A., &amp; 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Facchiano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, A. (2022).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 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Drug Design by 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Pharmacophore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 and Virtual Screening Approach.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 </w:t>
      </w:r>
      <w:r>
        <w:rPr>
          <w:rFonts w:ascii="Times New Roman" w:cs="Times New Roman" w:eastAsia="Times New Roman" w:hAnsi="Times New Roman"/>
          <w:i/>
          <w:iCs/>
          <w:kern w:val="0"/>
          <w:sz w:val="24"/>
          <w:lang w:eastAsia="en-US"/>
        </w:rPr>
        <w:t>Pharmaceuticals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, </w:t>
      </w:r>
      <w:r>
        <w:rPr>
          <w:rFonts w:ascii="Times New Roman" w:cs="Times New Roman" w:eastAsia="Times New Roman" w:hAnsi="Times New Roman"/>
          <w:i/>
          <w:iCs/>
          <w:kern w:val="0"/>
          <w:sz w:val="24"/>
          <w:lang w:eastAsia="en-US"/>
        </w:rPr>
        <w:t>15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(5).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 </w:t>
      </w:r>
      <w:r>
        <w:rPr/>
        <w:fldChar w:fldCharType="begin"/>
      </w:r>
      <w:r>
        <w:instrText xml:space="preserve"> HYPERLINK "https://doi.org/10.3390/ph15050646" </w:instrText>
      </w:r>
      <w:r>
        <w:rPr/>
        <w:fldChar w:fldCharType="separate"/>
      </w:r>
      <w:r>
        <w:rPr>
          <w:rStyle w:val="style85"/>
          <w:rFonts w:ascii="Times New Roman" w:cs="Times New Roman" w:eastAsia="Times New Roman" w:hAnsi="Times New Roman"/>
          <w:kern w:val="0"/>
          <w:sz w:val="24"/>
          <w:lang w:eastAsia="en-US"/>
        </w:rPr>
        <w:t>https://doi.org/10.3390/ph15050646</w:t>
      </w:r>
      <w:r>
        <w:rPr/>
        <w:fldChar w:fldCharType="end"/>
      </w:r>
    </w:p>
    <w:p>
      <w:pPr>
        <w:pStyle w:val="style0"/>
        <w:widowControl/>
        <w:spacing w:after="0" w:lineRule="auto" w:line="240"/>
        <w:jc w:val="left"/>
        <w:rPr>
          <w:rFonts w:ascii="Times New Roman" w:cs="Times New Roman" w:eastAsia="Times New Roman" w:hAnsi="Times New Roman"/>
          <w:kern w:val="0"/>
          <w:sz w:val="24"/>
          <w:lang w:eastAsia="en-US"/>
        </w:rPr>
      </w:pPr>
    </w:p>
    <w:p>
      <w:pPr>
        <w:pStyle w:val="style0"/>
        <w:widowControl/>
        <w:spacing w:after="0" w:lineRule="auto" w:line="240"/>
        <w:jc w:val="left"/>
        <w:rPr>
          <w:rFonts w:ascii="Times New Roman" w:cs="Times New Roman" w:eastAsia="Times New Roman" w:hAnsi="Times New Roman"/>
          <w:kern w:val="0"/>
          <w:sz w:val="24"/>
          <w:lang w:eastAsia="en-US"/>
        </w:rPr>
      </w:pP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Rahman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 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Molla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, M. H., 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Aljahdali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, M. O., Ahmed 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Sumon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, M. A., 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Asseri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, A. H., 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Altayb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, H. N., Islam, M. S., 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Alsaiari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, A. A., Dain 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Md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 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Opo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, F. A., 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Jahan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, N., 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Ahammad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, F., &amp; Mohammad, F. (2023). Integrative 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Ligand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-Based 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Pharmacophore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 Modeling, Virtual Screening, and Molecular Docking Simulation Approaches Identified Potential Lead Compounds against Pancreatic Cancer by Targeting FAK1. </w:t>
      </w:r>
      <w:r>
        <w:rPr>
          <w:rFonts w:ascii="Times New Roman" w:cs="Times New Roman" w:eastAsia="Times New Roman" w:hAnsi="Times New Roman"/>
          <w:i/>
          <w:iCs/>
          <w:kern w:val="0"/>
          <w:sz w:val="24"/>
          <w:lang w:eastAsia="en-US"/>
        </w:rPr>
        <w:t>Pharmaceuticals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, </w:t>
      </w:r>
      <w:r>
        <w:rPr>
          <w:rFonts w:ascii="Times New Roman" w:cs="Times New Roman" w:eastAsia="Times New Roman" w:hAnsi="Times New Roman"/>
          <w:i/>
          <w:iCs/>
          <w:kern w:val="0"/>
          <w:sz w:val="24"/>
          <w:lang w:eastAsia="en-US"/>
        </w:rPr>
        <w:t>16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(1).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 https://doi.org/10.3390/ph16010120</w:t>
      </w:r>
    </w:p>
    <w:p>
      <w:pPr>
        <w:pStyle w:val="style0"/>
        <w:widowControl/>
        <w:spacing w:after="0" w:lineRule="auto" w:line="240"/>
        <w:jc w:val="left"/>
        <w:rPr>
          <w:rFonts w:ascii="Times New Roman" w:cs="Times New Roman" w:eastAsia="Times New Roman" w:hAnsi="Times New Roman"/>
          <w:kern w:val="0"/>
          <w:sz w:val="24"/>
          <w:lang w:eastAsia="en-US"/>
        </w:rPr>
      </w:pPr>
    </w:p>
    <w:p>
      <w:pPr>
        <w:pStyle w:val="style0"/>
        <w:widowControl/>
        <w:spacing w:after="0" w:lineRule="auto" w:line="240"/>
        <w:jc w:val="left"/>
        <w:rPr>
          <w:rFonts w:ascii="Times New Roman" w:cs="Times New Roman" w:eastAsia="Times New Roman" w:hAnsi="Times New Roman"/>
          <w:kern w:val="0"/>
          <w:sz w:val="24"/>
          <w:lang w:eastAsia="en-US"/>
        </w:rPr>
      </w:pP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Giordano, D., 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Biancaniello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, C., 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Argenio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, M. A., &amp; 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Facchiano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, A. (2022).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 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Drug Design by 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Pharmacophore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 and Virtual Screening Approach.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 </w:t>
      </w:r>
      <w:r>
        <w:rPr>
          <w:rFonts w:ascii="Times New Roman" w:cs="Times New Roman" w:eastAsia="Times New Roman" w:hAnsi="Times New Roman"/>
          <w:i/>
          <w:iCs/>
          <w:kern w:val="0"/>
          <w:sz w:val="24"/>
          <w:lang w:eastAsia="en-US"/>
        </w:rPr>
        <w:t>Pharmaceuticals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, </w:t>
      </w:r>
      <w:r>
        <w:rPr>
          <w:rFonts w:ascii="Times New Roman" w:cs="Times New Roman" w:eastAsia="Times New Roman" w:hAnsi="Times New Roman"/>
          <w:i/>
          <w:iCs/>
          <w:kern w:val="0"/>
          <w:sz w:val="24"/>
          <w:lang w:eastAsia="en-US"/>
        </w:rPr>
        <w:t>15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>(5).</w:t>
      </w:r>
      <w:r>
        <w:rPr>
          <w:rFonts w:ascii="Times New Roman" w:cs="Times New Roman" w:eastAsia="Times New Roman" w:hAnsi="Times New Roman"/>
          <w:kern w:val="0"/>
          <w:sz w:val="24"/>
          <w:lang w:eastAsia="en-US"/>
        </w:rPr>
        <w:t xml:space="preserve"> https://doi.org/10.3390/ph15050646</w:t>
      </w:r>
    </w:p>
    <w:p>
      <w:pPr>
        <w:pStyle w:val="style0"/>
        <w:widowControl/>
        <w:spacing w:after="0" w:lineRule="auto" w:line="240"/>
        <w:jc w:val="left"/>
        <w:rPr>
          <w:rFonts w:ascii="Times New Roman" w:cs="Times New Roman" w:eastAsia="Times New Roman" w:hAnsi="Times New Roman"/>
          <w:kern w:val="0"/>
          <w:sz w:val="24"/>
          <w:lang w:eastAsia="en-US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sz w:val="24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sz w:val="24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sz w:val="24"/>
        </w:rPr>
      </w:pPr>
    </w:p>
    <w:p>
      <w:pPr>
        <w:pStyle w:val="style0"/>
        <w:spacing w:lineRule="auto" w:line="360"/>
        <w:ind w:firstLine="420"/>
        <w:rPr>
          <w:rFonts w:ascii="Times New Roman" w:cs="Times New Roman" w:hAnsi="Times New Roman"/>
          <w:bCs/>
          <w:sz w:val="24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Arial Unicode MS"/>
    <w:panose1 w:val="00000000000000000000"/>
    <w:charset w:val="00"/>
    <w:family w:val="auto"/>
    <w:pitch w:val="default"/>
    <w:sig w:usb0="00000000" w:usb1="080E0000" w:usb2="00000010" w:usb3="00000000" w:csb0="00040000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embedSystemFont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eastAsia="zh-CN"/>
    </w:rPr>
  </w:style>
  <w:style w:type="paragraph" w:styleId="style2">
    <w:name w:val="heading 2"/>
    <w:basedOn w:val="style0"/>
    <w:next w:val="style0"/>
    <w:qFormat/>
    <w:pPr>
      <w:keepNext/>
      <w:keepLines/>
      <w:spacing w:lineRule="auto" w:line="413"/>
      <w:outlineLvl w:val="1"/>
    </w:pPr>
    <w:rPr>
      <w:rFonts w:ascii="Arial" w:eastAsia="黑体" w:hAnsi="Arial"/>
      <w:b/>
      <w:sz w:val="32"/>
    </w:rPr>
  </w:style>
  <w:style w:type="paragraph" w:styleId="style3">
    <w:name w:val="heading 3"/>
    <w:basedOn w:val="style0"/>
    <w:next w:val="style0"/>
    <w:qFormat/>
    <w:pPr>
      <w:keepNext/>
      <w:keepLines/>
      <w:spacing w:lineRule="auto" w:line="413"/>
      <w:outlineLvl w:val="2"/>
    </w:pPr>
    <w:rPr>
      <w:b/>
      <w:sz w:val="32"/>
    </w:rPr>
  </w:style>
  <w:style w:type="paragraph" w:styleId="style4">
    <w:name w:val="heading 4"/>
    <w:basedOn w:val="style0"/>
    <w:next w:val="style0"/>
    <w:qFormat/>
    <w:pPr>
      <w:keepNext/>
      <w:keepLines/>
      <w:spacing w:lineRule="auto" w:line="372"/>
      <w:outlineLvl w:val="3"/>
    </w:pPr>
    <w:rPr>
      <w:rFonts w:ascii="Arial" w:eastAsia="黑体" w:hAnsi="Arial"/>
      <w:b/>
      <w:sz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Words>723</Words>
  <Pages>1</Pages>
  <Characters>4486</Characters>
  <Application>WPS Office</Application>
  <DocSecurity>0</DocSecurity>
  <Paragraphs>27</Paragraphs>
  <ScaleCrop>false</ScaleCrop>
  <LinksUpToDate>false</LinksUpToDate>
  <CharactersWithSpaces>5192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2019-02-01T05:11:00Z</dcterms:created>
  <dc:creator>Chen文丽</dc:creator>
  <lastModifiedBy>Infinix X657C</lastModifiedBy>
  <dcterms:modified xsi:type="dcterms:W3CDTF">2024-09-13T06:51:34Z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3081-11.33.82</vt:lpwstr>
  </property>
  <property fmtid="{D5CDD505-2E9C-101B-9397-08002B2CF9AE}" pid="3" name="ICV">
    <vt:lpwstr>d2e4fb6b2b1e455e82ab9725a007d3e3</vt:lpwstr>
  </property>
</Properties>
</file>