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CENTRO UNIVERSITÁRIO UNIGRAN CAPITAL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CURSO DE DIREITO</w:t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8º PERÍODO — TURMA A</w:t>
      </w:r>
    </w:p>
    <w:p>
      <w:pPr>
        <w:spacing w:after="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GIOVANNI RIBEIRO SALDANHA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RGM 181.761</w:t>
      </w:r>
    </w:p>
    <w:p>
      <w:pPr>
        <w:spacing w:after="24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PROIBIÇÃO DE RETROCESSO SOCIOAMBIENTAL: DA AMPLIAÇÃO DO CÍRCULO MORAL AO CONTROLE DE CONSTITUCIONALIDADE NA ADI 4.717/DF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Atividade avaliativa da disciplina de Direito Ambiental — P1.</w:t>
      </w:r>
    </w:p>
    <w:p>
      <w:pPr>
        <w:spacing w:after="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Campo Grande — MS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2026</w:t>
      </w:r>
    </w:p>
    <w:p>
      <w:r>
        <w:br w:type="page"/>
      </w:r>
    </w:p>
    <w:p>
      <w:pPr>
        <w:spacing w:after="48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PROIBIÇÃO DE RETROCESSO SOCIOAMBIENTAL: DA AMPLIAÇÃO DO CÍRCULO MORAL AO CONTROLE DE CONSTITUCIONALIDADE NA ADI 4.717/DF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INTRODUÇÃO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Há um quadro, no capítulo que Ingo Wolfgang Sarlet e Tiago Fensterseifer dedicam à ética ecológica, que merece leitura mais atenta do que normalmente se concede a um esquema ilustrativo. Ele dispõe em sequência cronológica os marcos de reconhecimento jurídico de direitos no contexto norte-americano: a Magna Carta de 1215, a Declaração de Independência de 1776, a Proclamação de Emancipação de 1863, a Décima Nona Emenda de 1920, o Indian Citizenship Act de 1924, o Fair Labor Standards Act de 1938, o Civil Rights Act de 1957 e, ao final da série, o Endangered Species Act de 1973.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que impressiona nessa sequência não é apenas quem vai sendo progressivamente incluído. É a direção. Nenhuma das linhas retrocede. Barões, colonos, escravizados, mulheres, povos nativos, trabalhadores, população negra e, por fim, a própria Natureza — a cada etapa o círculo se alarga, e o que foi incorporado não volta a ser excluído. Os autores descrevem o fenômeno nestes termos: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reconhecimento do status moral para além do espectro humano também se situa na perspectiva histórica de ampliação progressiva do círculo moral – que, no passado, era limitado a apenas “alguns” seres humanos – e ampliação da atribuição de direitos, como ilustra bem o quadro que segue extraído da obra The Rights of Nature (1989) do historiador norte-americano Roderick Frazier Nash. (SARLET; FENSTERSEIFER, 2026, p. 104)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adjetivo empregado pelos autores merece atenção: progressiva. Ele carrega uma pretensão que é, no fundo, a mesma do princípio examinado neste trabalho. Se a expansão do reconhecimento jurídico é progressiva, o retrocesso deixa de ser mera opção legislativa infeliz e passa a figurar como anomalia dentro da lógica do próprio processo. Pretendo demonstrar que a proibição de retrocesso socioambiental não constitui invenção da dogmática constitucional recente, mas a tradução técnica de uma intuição ética anterior a ela, e que essa tradução foi efetivamente operada pelo Supremo Tribunal Federal no julgamento da ADI 4.717/DF.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O SUBSTRATO ÉTICO: UM PROCESSO QUE NÃO ADMITE VOLTA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Sarlet e Fensterseifer situam a ética ecológica como continuidade, e não como ruptura, do projeto iluminista. A crítica que dirigem ao cartesianismo — à cisão entre sujeito humano e Natureza-objeto — não propõe regresso algum ao obscurantismo. Ao contrário. A afirmação dos autores é econômica e decisiva: "O Iluminismo é um processo inacabado, tanto no campo científico quanto no plano ético" (SARLET; FENSTERSEIFER, 2026, p. 101).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tese que acolhem, colhida de Klaus Michael Meyer-Abich, é a de um segundo Iluminismo, que completaria o primeiro: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A percepção de que todas as pessoas nascem iguais por natureza e que esta igualdade também deve ser preservada na coexistência do Estado tornou-se a base do Estado constitucional moderno e já era irrefreável naquela época. Com relação ao papel do ser humano na Natureza, ainda não houve um Iluminismo (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Aufklärung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) correspondente. Defendo que o primeiro Iluminismo (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ersten Aufklärung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) sobre a igualdade natural dos seres humanos (seu nascimento igual) seja seguido pelo Iluminismo adicional sobre nosso parentesco natural (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natürliche Verwandtschaft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) com o resto do mundo (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Welt</w:t>
      </w:r>
      <w:r>
        <w:rPr>
          <w:rFonts w:ascii="Times New Roman" w:cs="Times New Roman" w:eastAsia="Times New Roman" w:hAnsi="Times New Roman"/>
          <w:i w:val="false"/>
          <w:iCs w:val="false"/>
          <w:sz w:val="20"/>
          <w:szCs w:val="20"/>
        </w:rPr>
        <w:t xml:space="preserve">). Ambos os Iluminismos têm consequências políticas de longo alcance, mas diferentes. (MEYER-ABICH apud SARLET; FENSTERSEIFER, 2026, p. 102)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Note-se a estrutura do argumento. O primeiro Iluminismo produziu algo que se tornou "irrefreável" — a igualdade natural dos seres humanos como base do Estado constitucional. Irrefreável é palavra forte: designa o que, uma vez estabelecido, não se pode desfazer sem desfazer, junto, o próprio Estado constitucional que dele nasceu. É essa qualidade que a doutrina da proibição de retrocesso pretende estender à proteção ecológica.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Há um ponto que costuma passar despercebido. A proibição de retrocesso não nasceu no direito ambiental. Foi formulada no campo dos direitos sociais, como resposta ao risco de que o legislador ordinário desfizesse, por maioria simples, o grau de concretização já alcançado por direitos cuja eficácia a Constituição confiara à sua mediação. A transposição para o domínio ecológico só se justifica se houver, na estrutura do direito ao meio ambiente, algo que a autorize. E há: a solidariedade intergeracional inscrita no caput do art. 225.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DA ÉTICA À DOGMÁTICA CONSTITUCIONAL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 O duplo fundamento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primeiro fundamento é a segurança jurídica. De pouco valeria uma Constituição que assegurasse direitos cuja concretização pudesse ser revertida ao sabor de cada maioria parlamentar. A proibição de retrocesso é, nesse sentido, exigência do próprio Estado de Direito, e não adorno protetivo acrescentado à margem dele.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segundo fundamento é a dimensão temporal do direito ambiental, e aqui a contribuição dos autores se mostra mais fértil. Ao classificarem as dimensões da ética ecológica, escrevem: "Outra dimensão da ética ecológica é a ética intergeracional (ou intertemporal), de modo a pautar as nossas ações presentes em respeito e solidariedade para com as gerações humanas futuras" (SARLET; FENSTERSEIFER, 2026, p. 104).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Transposta para o plano jurídico, a formulação produz resultado notável. O art. 225 impõe ao Poder Público e à coletividade o dever de defender e preservar o meio ambiente "para as presentes e futuras gerações". A geração viva não é proprietária plena do patrimônio ecológico: é sua administradora temporária, vinculada a um dever de repasse. Quando o legislador reduz o nível de proteção alcançado, não exerce apenas liberdade de conformação — dispõe de um bem que pertence também a quem ainda não pode se opor. O retrocesso é, sob esse ângulo, uma apropriação indevida no tempo.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 O objeto de proteção: o bloco normativo ambiental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Aqui reside a maior dificuldade técnica da matéria, e não há como contorná-la. Se a proibição de retrocesso vedasse toda e qualquer alteração normativa desfavorável ao meio ambiente, o resultado seria o congelamento integral do ordenamento ambiental. O legislador ficaria reduzido a executor de suas próprias decisões pretéritas, e uma legislação mal desenhada tornar-se-ia, por absurdo, insuscetível de correção.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Não é disso que se trata, e o próprio Sarlet oferece a chave da delimitação ao analisar a revogação de resoluções do Conama em 2020. Sustenta ali que tais atos, ao lado do marco constitucional e legal, integram o "patrimônio jurídico ecológico" e o que denomina "bloco normativo ambiental", servindo "de parâmetro para o controle de ações e omissões do Estado e de particulares quando em desacordo com os seus preceitos normativos" (SARLET, 2020).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extrai daí, expressamente, o critério que interessa: as resoluções "também estão blindadas contra retrocessos despidos de justificativas e fundamentos legítimos do ponto de vista jurídico, técnico e fático" (SARLET, 2020).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fórmula merece ser lida devagar, porque nela está toda a operacionalidade do princípio. O que se proíbe não é o retrocesso: é o retrocesso despido de justificativa. A alteração normativa segue possível, desde que sustentada por fundamento idôneo em três planos — jurídico, técnico e fático. O princípio não interdita a mudança; submete-a a um ônus de justificação qualificado, invertendo o encargo argumentativo. Cabe ao Estado demonstrar que a medida restritiva é proporcional, tecnicamente fundamentada e acompanhada de compensações idôneas, e não ao cidadão demonstrar a inconstitucionalidade do retrocesso. O limite último dessa margem é o núcleo essencial do direito fundamental ao meio ambiente, que medidas de desproteção institucional, na expressão do autor, chegam a ferir "de morte" (SARLET, 2020).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 A face positiva: o dever de progressividade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 aspecto que os manuais tratam de passagem merece destaque, porque completa o desenho. A proibição de retrocesso possui um correlato positivo. Ao enumerar os princípios que regem a competência legislativa concorrente em matéria ambiental, Sarlet arrola, lado a lado, "o princípio da proibição de retrocesso, princípio “in dubio pro natura” e o dever de progressividade ou aprimoramento em relação à legislação ambiental, com o objetivo de assegurar um marco jurídico mais protetivo e rígido" (SARLET, 2020).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par é indissociável. Proibir o retrocesso, isoladamente, produziria apenas conservação — a manutenção indefinida do patamar existente, por melhor ou pior que fosse. Somado ao dever de progressividade, o princípio deixa de ser estático: não apenas veda a redução, mas orienta o ordenamento na direção do aprimoramento. Volta-se, com isso, ao ponto de partida deste trabalho. A sequência de Nash não descreve apenas uma série que se recusa a retroceder: descreve uma série que avança.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3.4 A objeção democrática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crítica mais consistente ao princípio precisa ser enfrentada em seus próprios termos. Objeta-se que a vedação de retrocesso, levada às últimas consequências, sacrifica a liberdade de conformação de um legislador democraticamente eleito e desloca para o Judiciário a última palavra sobre políticas públicas ambientais — matéria intensamente técnica, atravessada por escolhas de conveniência e por conflitos distributivos legítimos.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objeção tem peso, e o critério exposto no item 3.2 é justamente o que lhe responde. Exigir justificativa jurídica, técnica e fática não retira do Parlamento a competência para deliberar: apenas impede que a redução de proteção se faça sem razões. O legislador segue livre para substituir instrumentos, reorganizar a política ambiental e revogar mecanismos ineficazes. O que não lhe é dado é rebaixar o patamar de tutela em silêncio argumentativo. Sob essa leitura, o princípio não é antidemocrático — é técnica de preservação daquilo que a deliberação constituinte, e não a maioria de ocasião, decidiu proteger.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A APLICAÇÃO CONCRETA: A ADI 4.717/DF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aplicação mais expressiva do princípio na jurisprudência brasileira está no julgamento da Ação Direta de Inconstitucionalidade n. 4.717/DF, relatada pela Ministra Cármen Lúcia e apreciada pelo Plenário do Supremo Tribunal Federal em 5 de abril de 2018.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Discutia-se a Medida Provisória n. 558/2012, depois convertida na Lei n. 12.678/2012, que reduziu os limites de sete espaços territorialmente protegidos na Amazônia: as Florestas Nacionais de Itaituba I, Itaituba II e Crepori, os Parques Nacionais dos Campos Amazônicos, da Amazônia e do Mapinguari, e a Área de Proteção Ambiental do Tapajós. A finalidade da desafetação era declarada e instrumental — viabilizar o licenciamento e a instalação de cinco usinas hidrelétricas.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Tribunal julgou procedente o pedido, com base em dois fundamentos que convém distinguir.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primeiro é formal. O art. 225, § 1º, III, da Constituição exige lei em sentido estrito para a alteração ou supressão de espaços territorialmente protegidos. A medida provisória, ato normativo de iniciativa unipessoal do Chefe do Executivo, não atende a essa exigência. Reconheceu-se a proteção ambiental como limite material implícito à edição de medidas provisórias — tese de alcance que ultrapassa o caso julgado.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segundo fundamento é material, e é o que interessa de perto. Assentou o acórdão que a norma impugnada contrariou o princípio da proibição de retrocesso socioambiental, na medida em que as alterações promovidas atingiram o núcleo essencial do direito fundamental ao meio ambiente ecologicamente equilibrado. O julgado corresponde ao que a dogmática exigia e ao que se expôs no item 3.2: não a proibição abstrata de alterar, mas a identificação, no caso concreto, de uma desproteção sem justificativa idônea, que ultrapassou o mínimo constitucionalmente devido. Nada nos autos indicava fundamento técnico ou fático para a redução: a motivação era a viabilização das obras.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Resta o desfecho, e ele é desconfortável. O Tribunal declarou a inconstitucionalidade sem pronúncia de nulidade, porque os efeitos da norma já se haviam consumado de modo irreversível — as usinas estavam construídas e em operação, as áreas alagadas, e nada disso comportava desfazimento.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É precisamente sobre essa hipótese que Sarlet formula sua tese mais forte: em situações que envolvam danos ecológicos irreversíveis, o princípio da proibição de retrocesso opera de modo absoluto, como verdadeira regra jurídica, e não como princípio sujeito a ponderação (SARLET, 2020). A ADI 4.717/DF ilustra a razão de ser dessa formulação — e, ao mesmo tempo, o custo de aplicá-la tarde. Reconhecida a irreversibilidade, não sobrou ao Tribunal margem de ponderação alguma; sobrou apenas a constatação.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CONSIDERAÇÕES FINAIS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proibição de retrocesso socioambiental não confere ao ordenamento ambiental imutabilidade — o que seria, além de indesejável, incompatível com a natureza dinâmica da matéria. Impõe, sim, um ônus qualificado de justificação a toda medida que rebaixe o patamar de tutela alcançado, exigindo fundamento jurídico, técnico e fático, e tendo por limite último o núcleo essencial do direito assegurado pelo art. 225. Somada ao dever de progressividade, deixa de ser garantia meramente conservadora e passa a orientar o ordenamento na direção do aprimoramento.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ADI 4.717/DF prova que esse conteúdo é operacionalizável em controle concentrado. Prova também algo menos animador. Reconhecer o retrocesso depois de erguidas as barragens é, ainda assim, reconhecê-lo, e o precedente vale para o futuro. Só que a floresta desafetada não volta, e a área alagada permanece alagada. A eficácia do princípio depende menos de sua formulação dogmática, hoje razoavelmente consolidada, do que do momento em que é invocado.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Sarlet e Fensterseifer advertem, no capítulo aqui examinado, ser preciso "reduzir a nossa “pegada ecológica”, tirando o pé do acelerador da locomotiva que tem nos levado rumo ao precipício civilizatório" (SARLET; FENSTERSEIFER, 2026, p. 100). A imagem cabe bem ao ponto: contra uma locomotiva em movimento, freio acionado tarde demais não evita o descarrilamento. Apenas documenta, com precisão, o instante em que ainda teria sido possível evitá-lo.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Constituição da República Federativa do Brasil de 1988. Brasília, DF: Presidência da República, 1988.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Supremo Tribunal Federal.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Ação Direta de Inconstitucionalidade n. 4.717/DF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Relatora: Min. Cármen Lúcia. Tribunal Pleno. Julgado em 5 abr. 2018.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NASH, Roderick Frazier.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rights of nature: a history of environmental ethics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Madison: University of Wisconsin Press, 1989.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Wolfgang. Conama: rumo ao estado de coisas inconstitucional ambiental.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GEN Jurídico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, 2 out. 2020. Disponível em: https://blog.grupogen.com.br/juridico/areas-de-interesse/ambiental/resolucoes-do-conama/. Acesso em: 31 ago. 2026.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Wolfgang; FENSTERSEIFER, Tiago.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Curso de Direito Ambiental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6. ed. Rio de Janeiro: Forense, 2026. E-book.</w:t>
      </w:r>
    </w:p>
    <w:sectPr>
      <w:headerReference w:type="default" r:id="rId7"/>
      <w:headerReference w:type="first" r:id="rId8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2026-09-04T21:34:29.872Z</dcterms:created>
  <dcterms:modified xsi:type="dcterms:W3CDTF">2026-09-04T21:34:29.884Z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