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Aluno: Giovanni Ribeiro Saldanha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RGM: 181.761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FUNDAMENTO DOGMÁTICO E APLICAÇÃO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art. 225 da Constituição Federal de 1988 não se limitou a reconhecer o direito de todos ao meio ambiente ecologicamente equilibrado. Ao acrescentar, no mesmo dispositivo, que incumbe ao Poder Público e à coletividade o dever de defendê-lo e preservá-lo para as presentes e futuras gerações, o constituinte estruturou a tutela ambiental sobre duas dimensões que caminham juntas: uma dimensão subjetiva, de que decorre uma posição jurídica exigível, e uma dimensão objetiva, da qual se extraem deveres estatais de proteção. É dessa segunda dimensão que nasce o problema examinado neste trabalho.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Se o Estado está constitucionalmente vinculado a proteger determinado bem, indaga-se em que medida lhe é lícito desproteger aquilo que já protegeu. Pode o legislador revogar, flexibilizar ou esvaziar um regime de tutela ambiental já consolidado, invocando sua liberdade de conformação? A resposta a essa pergunta é oferecida pelo princípio da proibição de retrocesso socioambiental — também referido como vedação de retrocesso ecológico —, cujo conteúdo se pretende descrever a partir da doutrina, para em seguida verificar sua aplicação concreta no julgamento da Ação Direta de Inconstitucionalidade n. 4.717/DF pelo Supremo Tribunal Federal.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PRINCÍPIO NA DOUTRINA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 Da matriz social à transposição para o domínio ecológico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proibição de retrocesso foi originalmente formulada no campo dos direitos sociais, como resposta dogmática ao risco de que o legislador ordinário desfizesse, por simples maioria, o grau de concretização já alcançado por direitos que a Constituição confiara à sua mediação. Sarlet e Fensterseifer promovem a transposição dessa construção para o domínio ambiental, sustentando que a proteção ecológica, uma vez incorporada ao ordenamento, integra o patrimônio jurídico da coletividade e não pode ser livremente desfeita pelo poder que a instituiu.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fundamento dessa transposição é duplo. De um lado, encontra-se a segurança jurídica: para os autores, a proibição de retrocesso é expressão inafastável do próprio Estado de Direito, pois de pouco valeria uma Constituição que assegurasse direitos cuja concretização pudesse ser revertida ao sabor da conjuntura política. De outro, encontra-se a solidariedade intergeracional inscrita no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caput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 do art. 225. Como observam Sarlet e Fensterseifer, a geração presente é responsável por legar às gerações futuras condições ecológicas iguais ou melhores do que aquelas que recebeu, o que veda à geração viva a alteração negativa desse patrimônio (SARLET; FENSTERSEIFER, 2026, p. ___). O retrocesso, sob essa ótica, não é apenas uma opção legislativa desfavorável: é a apropriação, pela geração atual, de um bem que não lhe pertence integralmente.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 Conteúdo normativo: o bloco normativo e o núcleo essencial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Delimitar o que o princípio efetivamente proíbe é o ponto mais delicado da matéria. A doutrina rejeita a leitura maximalista segundo a qual toda e qualquer alteração normativa desfavorável ao meio ambiente seria inconstitucional. Semelhante entendimento produziria o congelamento integral da ordem jurídica ambiental e, no limite, converteria o legislador ordinário em mero executor de suas próprias decisões pretéritas.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que se protege, com maior rigor técnico, é o bloco normativo de proteção já construído, constitucional e infraconstitucional, na medida em que ele concretiza o núcleo essencial do direito fundamental ao meio ambiente. A proibição de retrocesso opera, portanto, como um parâmetro de controle: não impede a alteração legislativa, mas exige que ela não reduza o patamar de proteção abaixo do mínimo necessário à eficácia do direito. Trata-se, em termos práticos, de uma inversão do ônus argumentativo — cabe ao Estado demonstrar que a medida restritiva é justificada, proporcional e acompanhada de compensações idôneas, e não ao cidadão demonstrar a inconstitucionalidade do retrocesso.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 As objeções e o argumento democrático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Não se pode descrever o princípio sem enfrentar a crítica que lhe é dirigida com maior consistência. Objeta-se que a vedação de retrocesso, levada às últimas consequências, sacrifica a liberdade de conformação do legislador democraticamente eleito e transfere ao Judiciário a última palavra sobre políticas públicas ambientais, matéria intensamente técnica e marcada por escolhas de conveniência.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objeção é séria e merece resposta em seus próprios termos. Ela perde força, contudo, quando se observa que o princípio não interdita a deliberação legislativa, mas apenas a submete a um ônus de justificação mais exigente. O legislador permanece livre para rever instrumentos, substituir mecanismos e reorganizar a política ambiental; o que não lhe é dado é reduzir o nível de proteção sem apresentar razões constitucionalmente idôneas. Nesse sentido, o princípio não é antidemocrático: é justamente uma técnica de preservação daquilo que a deliberação constituinte — e não a maioria ocasional —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APLICAÇÃO CONCRETA: A ADI 4.717/DF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aplicação mais expressiva do princípio na jurisprudência brasileira encontra-se no julgamento da ADI 4.717/DF, relatada pela Ministra Cármen Lúcia e apreciada pelo Plenário do Supremo Tribunal Federal em 5 de abril de 2018.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Discutia-se a constitucionalidade da Medida Provisória n. 558/2012, posteriormente convertida na Lei n. 12.678/2012, que promoveu a redução dos limites de sete espaços territorialmente protegidos na Amazônia — as Florestas Nacionais de Itaituba I, Itaituba II e Crepori, os Parques Nacionais dos Campos Amazônicos, da Amazônia e do Mapinguari, e a Área de Proteção Ambiental do Tapajós. A finalidade da alteração era instrumental e declarada: viabilizar o licenciamento e a instalação de cinco usinas hidrelétricas nas áreas desafetadas.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Tribunal julgou procedente o pedido. Dois fundamentos estruturam a decisão. O primeiro é formal: o art. 225, § 1º, III, da Constituição exige lei em sentido estrito para a alteração ou supressão de espaços territorialmente protegidos, exigência que a medida provisória, ato normativo de iniciativa unipessoal do Chefe do Executivo, não satisfaz. Reconheceu-se, assim, a proteção ambiental como limite material implícito à edição de medidas provisórias.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segundo fundamento — o que interessa mais de perto a este trabalho — é material. Assentou o acórdão que a norma impugnada contrariou o princípio da proibição de retrocesso socioambiental, na medida em que as alterações promovidas atingiram o núcleo essencial do direito fundamental ao meio ambiente ecologicamente equilibrado. A decisão fornece, portanto, exatamente aquilo que a doutrina exigia: não a proibição abstrata de mudar, mas a identificação, no caso concreto, de uma diminuição de tutela que ultrapassou o mínimo constitucionalmente exigido.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Merece registro, ainda, a solução dada aos efeitos do julgado. O Tribunal declarou a inconstitucionalidade sem pronúncia de nulidade, uma vez que os efeitos da norma já se haviam materializado de forma irreversível — as usinas encontravam-se construídas e em operação, e o alagamento das áreas não comportava desfazimento. A técnica preserva a força normativa da decisão para o futuro, mas revela, com alguma crueza, o limite prático do princípio: quando o dano ecológico se consuma, o reconhecimento do retrocesso opera mais como precedente do que como remédio.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CONSIDERAÇÕES FINAIS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proibição de retrocesso socioambiental não confere ao ordenamento ambiental uma imutabilidade que seria, além de indesejável, incompatível com a natureza dinâmica da matéria. O que ela impõe é um ônus qualificado de justificação a toda medida que reduza o patamar de tutela já alcançado, tomando como parâmetro o núcleo essencial do direito assegurado pelo art. 225 da Constituição.</w:t>
      </w:r>
    </w:p>
    <w:p>
      <w:pPr>
        <w:spacing w:after="0" w:before="0" w:line="360" w:lineRule="auto"/>
        <w:ind w:left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ADI 4.717/DF demonstra que esse conteúdo é operacionalizável em sede de controle concentrado. Ao mesmo tempo, o desfecho do caso sugere que a eficácia do princípio depende menos de sua formulação dogmática — hoje razoavelmente consolidada — do que da oportunidade de sua invocação. Reconhecer o retrocesso depois de erguidas as barragens é, ainda assim, reconhecê-lo; mas é sobretudo um alerta sobre a necessidade de que o controle se dê antes da consumação do dano.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6. ed. Rio de Janeiro: Forense, 2026. p. ___.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Princípios do Direito Ambiental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. 2. ed. São Paulo: Saraiva, 2017.</w:t>
      </w:r>
    </w:p>
    <w:p>
      <w:pPr>
        <w:pBdr>
          <w:top w:val="single" w:color="999999" w:sz="6" w:space="8"/>
        </w:pBdr>
        <w:spacing w:after="0" w:before="48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444444"/>
          <w:sz w:val="18"/>
          <w:szCs w:val="18"/>
        </w:rPr>
        <w:t xml:space="preserve">Nota de trabalho (remover antes de qualquer uso formal): as páginas assinaladas com "___" devem ser preenchidas a partir do exemplar da 6ª edição da obra de Sarlet e Fensterseifer. As posições doutrinárias atribuídas aos autores no item 2.1 correspondem à sua formulação conhecida sobre o tema, mas a paginação exata precisa ser conferida no livro.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2026-08-28T14:52:51.754Z</dcterms:created>
  <dcterms:modified xsi:type="dcterms:W3CDTF">2026-08-28T14:52:51.754Z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