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Giovanni Ribeiro Saldanha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181.761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negra, e por fim a própria Natureza — a cada etapa, o círculo se alarga, e o que foi incorporado não volta a ser excluído. Os autores descrevem o fenômeno nos seguintes termos: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reconhecimento do status moral para além do espectro humano também se situa na perspectiva histórica de ampliação progressiva do círculo moral – que, no passado, era limitado a apenas “alguns” seres humanos – e ampliação da atribuição de direitos, como ilustra bem o quadro que segue extraído da obra The Rights of Nature (1989) do historiador norte-americano Roderick Frazier Nash. (SARLET;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adjetivo: progressiva. Ele carrega uma pretensão que é, no fundo, a mesma pretensão do princípio examinado neste trabalho. Se a expansão do reconhecimento jurídico é progressiva, então o retrocesso não é apenas uma opção legislativa infeliz — é uma anomalia dentro da lógica do próprio processo. O que pretendo demonstrar aqui é que a proibição de retrocesso socioambiental não constitui uma invenção da dogmática constitucional recente, mas a tradução técnica de uma intuição ética muito mais antiga,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qualquer regresso ao obscurantismo. Ao contrário. A afirmação dos autores é econômica e decisiva: "O Iluminismo é um processo inacabado, tanto no campo científico quanto no plano ético"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os autores acolhem, colhida de Klaus Michael Meyer-Abich, é a de um segundo Iluminismo, que completaria o primeiro: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 percepção de que todas as pessoas nascem iguais por natureza e que esta igualdade também deve ser preservada na coexistência do Estado tornou-se a base do Estado constitucional moderno e já era irrefreável naquela época. Com relação ao papel do ser humano na Natureza, ainda não houve um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correspondente. Defendo que o primeiro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ersten 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sobre a igualdade natural dos seres humanos (seu nascimento igual) seja seguido pelo Iluminismo adicional sobre nosso parentesco natural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natürliche Verwandtschaft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com o resto do mundo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Welt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). (MEYER-ABICH apud 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que se tornou "irrefreável" — a igualdade natural dos seres humanos como base do Estado constitucional. Irrefreável é palavra forte: designa aquilo que, uma vez estabelecido, não se pode desfazer sem desfazer, junto, o próprio Estado constitucional que dele se originou. É precisamente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 algo, na estrutura do direito ao meio ambiente,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do princípio é a segurança jurídica. De pouco valeria uma Constituição que assegurasse direitos cuja concretização pudesse ser revertida ao sabor de cada maioria parlamentar. A proibição de retrocesso é, nesse sentido, exigência do próprio Estado de Direito, e não um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é aqui que a contribuição dos autores se mostra mais fértil. Ao classificarem as dimensões da ética ecológica, Sarlet e Fensterseifer identificam a ética intergeracional nos seguintes termos: "Outra dimensão da ética ecológica é a ética intergeracional (ou intertemporal), de modo a pautar as nossas ações presentes em respeito e solidariedade para com as gerações humanas futuras"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essa formulação para o plano jurídico, o resultado é notável. O art. 225 da Constituição impõe ao Poder Público e à coletividade o dever de defender e preservar o meio ambiente "para as presentes e futuras gerações". A geração viva não é, portanto, proprietária plena do patrimônio ecológico: é sua administradora temporária, vinculada a um dever de repasse. Quando o legislador reduz o nível de proteção já alcançado, ele não está apenas exercendo sua liberdade de conformação — está dispondo de um bem que pertence, também,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que exatamente se protege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significasse a vedação de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trata. O que se protege é o bloco normativo de proteção já construído — constitucional e infraconstitucional — na exata medida em que ele concretiza o núcleo essencial do direito fundamental ao meio ambiente ecologicamente equilibrado. O princípio não interdita a mudança: submete-a a um ônus de justificação qualificado. Em termos práticos, opera uma inversão do encargo argumentativo. Cabe ao Estado demonstrar que a medida restritiva é proporcional, tecnicamente fundamentada e acompanhada de compensações idôneas — e não ao cidadão demonstrar que o retrocesso é inconstitucional.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peso. Perde força, contudo, quando se observa que o princípio não retira do Parlamento a competência para deliberar: apenas exige que a redução de proteção venha acompanhada de razões constitucionalmente idôneas. O legislador segue livre para substituir instrumentos, reorganizar a política ambiental e revogar mecanismos ineficazes. O que não lhe é dado é rebaixar o patamar de tutela sem justificar. Sob essa leitura, o princípio não é antidemocrático — é uma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 com clareza.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Reconheceu-se, com isso, a proteção ambiental como limite material implícito à edição de medidas provisórias — tese de alcance considerável,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 a este trabalho. Assentou o acórdão que a norma impugnada contrariou o princípio da proibição de retrocesso socioambiental, na medida em que as alterações promovidas atingiram o núcleo essencial do direito fundamental ao meio ambiente ecologicamente equilibrado. O julgado entrega, portanto, exatamente aquilo que a dogmática exigia e que se expôs no item 3.2: não a proibição abstrata de alterar, mas a identificação, no caso concreto, de uma diminuição de tutela que ultrapassou o mínimo constitucionalmente devido.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irreversível: as usinas estavam construídas e em operação, as áreas alagadas, e nada disso comportava desfazimento. A técnica preserva a autoridade da decisão para o futuro. Mas expõe, com alguma crueza, o limite prático do princípio.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uma imutabilidade que seria, além de indesejável, incompatível com a natureza dinâmica da matéria. O que ela impõe é um ônus qualificado de justificação a toda medida que rebaixe o patamar de tutela já alcançado, tendo por parâmetro o núcleo essencial do direito assegurado pelo art. 225 da Constituição.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Mas prova também outra coisa, menos animadora. Reconhecer o retrocesso depois de erguidas as barragens é, ainda assim, reconhecê-lo — e o precedente vale.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que é preciso "reduzir a nossa “pegada ecológica”, tirando o pé do acelerador da locomotiva que tem nos levado rumo ao precipício civilizatório". A imagem é feliz e cabe bem ao ponto: contra uma locomotiva em movimento, freio acionado tarde demais não evita o descarrilamento. Ele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pBdr>
          <w:top w:val="single" w:color="999999" w:sz="6" w:space="8"/>
        </w:pBdr>
        <w:spacing w:before="48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444444"/>
          <w:sz w:val="18"/>
          <w:szCs w:val="18"/>
        </w:rPr>
        <w:t xml:space="preserve">Nota de trabalho (remover antes de qualquer uso formal): todas as citações diretas de Sarlet e Fensterseifer foram extraídas do item 1 do capítulo sobre ética ecológica, intitulado “Considerações iniciais: a ampliação do círculo moral e a expansão do reconhecimento de direitos para além do espectro humano”. As páginas assinaladas com “___” devem ser preenchidas com o exemplar da 6ª edição em mãos. Observação: o corpo do texto original grafa o autor alemão ora como “Meyer-Abich”, ora como “Mayer-Abich”; adotou-se aqui a forma correta, Klaus Michael Meyer-Abich.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2026-08-31T02:55:17.767Z</dcterms:created>
  <dcterms:modified xsi:type="dcterms:W3CDTF">2026-08-31T02:55:17.788Z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