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Aluno: Vinícius da Cruz Moreira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RGM: 182.181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manguezal filtra água, contém a erosão da costa, serve de berçário para peixes e absorve o impacto de ressacas. Nada disso aparece em nota fiscal. O manguezal trabalha de graça.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põem o dedo exatamente nesse ponto quando descrevem a relação entre o processo civilizatório e os serviços ecossistêmicos: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nosso caminho civilizatório percorrido até aqui deu-se de ombros para a Natureza e as soluções que ela nos provê (gratuitamente) por meio dos serviços ambientais (ex.: regulação climática, sequestro de carbono, a purificação do ar, a moderação de eventos climáticos extremos, a manutenção do equilíbrio do ciclo hidrológico, a minimização de enchentes e secas e o controle dos processos críticos de erosão e de deslizamento de encostas etc.). (SARLET; FENSTERSEIFER, 2026, p. ___)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parêntese é o que importa: gratuitamente. Um bem de valor altíssimo e preço zero. Essa é a raiz do problema que o princípio do poluidor-pagador tenta resolver, e é por ela que este trabalho começa. Serão examinados, em sequência, o problema econômico que o princípio enfrenta, sua tradução no direito positivo brasileiro, o mal-entendido que o acompanha desde sempre e, por fim, sua aplicação concreta pelo Superior Tribunal de Justiça no REsp 1.198.727/MG.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PROBLEMA: EXTERNALIDADE E PREÇO FALSO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economia chama de externalidade negativa o custo que uma atividade impõe a terceiros sem que ele apareça na contabilidade de quem a exerce. Uma indústria despeja efluentes no rio. Ela economiza o tratamento e amplia a margem. O rio deixa de servir à pesca, ao abastecimento e ao lazer de quem vive ali. A conta existe — só não é paga por quem a gerou.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princípio do poluidor-pagador foi formulado justamente para corrigir esse desencontro. Sua origem é uma recomendação da Organização para a Cooperação e Desenvolvimento Econômico, de 1972: os custos das medidas de prevenção e controle da poluição devem ser suportados pelo poluidor e refletidos no preço dos bens e serviços produzidos. Nasceu, portanto, como diretriz de política econômica, antes de virar categoria jurídica.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lógica é direta. Enquanto degradar for gratuito, degradar é economicamente racional. No momento em que o custo ambiental entra na estrutura de custos da atividade, o cálculo se inverte e prevenir passa a ser mais barato do que reparar. O princípio funciona, assim, como instrumento de indução de comportamento — não apenas como regra de partilha de prejuízos depois do fato consumado.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 ainda uma dimensão distributiva que costuma ser esquecida nos manuais e que os autores registram com precisão ao tratar da ética intrageracional. Referindo-se aos povos que hoje sofrem as consequências da crise ecológica, escrevem que muitos suportam "injustamente o ônus e as externalidades ecológicas negativas decorrentes dos altos padrões industriais e de consumo dos países desenvolvidos" (SARLET; FENSTERSEIFER, 2026, p. ___).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é relevante para o jurista, e não apenas para o economista. A externalidade não se dissolve no ar: ela desce, e desce sempre na mesma direção. De quem produz para quem não consome. Do país industrializado para o país fornecedor de matéria-prima. Da empresa para a comunidade ribeirinha. Internalizar custos, nesse quadro, não é um refinamento técnico de contabilidade ambiental — é uma exigência de justiça distributiva.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 TRADUÇÃO NORMATIVA NO DIREITO BRASILEIRO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ordenamento brasileiro o princípio tem assento expresso, e não apenas implícito.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4º, VII, da Lei n. 6.938/1981 fixa, entre os objetivos da Política Nacional do Meio Ambiente, a imposição ao poluidor da obrigação de recuperar e/ou indenizar os danos causados, e ao usuário da contribuição pela utilização de recursos ambientais com fins econômicos. Estão ali, no mesmo dispositivo, os dois princípios gêmeos: poluidor-pagador e usuário-pagador.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14, § 1º, da mesma lei fecha o desenho ao consagrar a responsabilidade objetiva do poluidor, independentemente de culpa. E o art. 225, § 3º, da Constituição estabelece que as condutas lesivas ao meio ambiente sujeitam os infratores a sanções penais e administrativas, independentemente da obrigação de reparar os danos — a chamada tríplice responsabilização ambiental.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soma desses dispositivos produz um regime severo: basta a conduta, o dano e o nexo causal. Não se discute intenção, diligência ou licença. Essa severidade não é acidente legislativo; é a condição para que o princípio funcione. Um regime de responsabilidade subjetiva, em matéria ambiental, devolveria à coletividade todo o custo que não conseguisse ser provado — e prova de culpa, em degradação difusa, é quase sempre inviável.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O MAL-ENTENDIDO: O PRINCÍPIO NÃO AUTORIZA POLUIR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Existe uma leitura equivocada do princípio que precisa ser afastada de forma explícita, porque é frequente até em petições.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Lido apressadamente, "poluidor-pagador" sugeriria que quem paga pode poluir. A fórmula se inverteria: em vez de poluidor-pagador, teríamos um pagador-poluidor, autorizado a degradar desde que arque com o preço. Seria a conversão do dano ambiental em custo de operação legitimamente adquirido — e o resultado prático seria a criação de um mercado de licenças informais de destruição, acessível a quem tivesse caixa.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doutrina rejeita essa leitura sem divergência relevante. O princípio incide sobre a poluição juridicamente tolerada, aquela que se mantém dentro dos padrões legais e das condições da licença ambiental. Não incide sobre o ilícito, que continua sujeito a sanção administrativa e penal, além do dever de reparar. Pagar não convalida a ilicitude. Quem degrada sem licença, ou além dos limites da que possui, não comprou nada: apenas passou a dever mais.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A APLICAÇÃO CONCRETA: O REsp 1.198.727/MG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julgamento do Recurso Especial n. 1.198.727/MG pela Segunda Turma do Superior Tribunal de Justiça, sob relatoria do Ministro Herman Benjamin, em 14 de agosto de 2012, com acórdão publicado no DJe de 9 de maio de 2013, mostra o princípio operando dentro do processo.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caso teve origem em ação civil pública ajuizada em razão do desmatamento de vegetação nativa de Cerrado, sem autorização do órgão ambiental competente. A controvérsia era objetiva: condenado o réu a recuperar a área degradada, poderia ser condenado, cumulativamente, a indenizar em dinheiro? Ou a recuperação já esgotaria a reparação devida, de modo que a cumulação configuraria bis in idem?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STJ decidiu pela possibilidade da cumulação. Fundou-se nos princípios da reparação integral, do poluidor-pagador e do usuário-pagador, assentando ser plenamente possível impor ao poluidor obrigações de recuperar e/ou indenizar, cumulativa ou alternativamente, conforme as circunstâncias do caso.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raciocínio é coerente com tudo o que se expôs até aqui. Replantar não repõe o que se perdeu. Entre o desmatamento e a recomposição efetiva da vegetação decorre um período que, no Cerrado, se conta em décadas — e durante todo esse intervalo a coletividade fica privada dos serviços ecossistêmicos que aquela área prestava. É o chamado dano ambiental interino, ou dano residual, e o replantio não o alcança. Se a condenação parasse na obrigação de fazer, uma parcela real e mensurável do custo ambiental permaneceria externalizada, suportada por quem não a causou. A cumulação, portanto, não é excesso punitivo: é exigência do princípio.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entendimento consolidou-se em enunciados que hoje estruturam a matéria no Tribunal. A Súmula 629 firma que, quanto ao dano ambiental, é admitida a condenação do réu à obrigação de fazer ou à de não fazer cumulada com a de indenizar. A Súmula 623 reconhece a natureza propter rem das obrigações ambientais, permitindo exigi-las do proprietário ou possuidor atual e/ou dos anteriores, à escolha do credor — solução que impede a fuga da responsabilidade pela simples venda do imóvel degradado. E a Súmula 618 atribui ao réu o ônus da prova nas ações de degradação ambiental, derrubando a barreira probatória que na prática inviabilizava a responsabilização.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Vistos em conjunto, os três enunciados fazem o que o princípio pede: impedem que o custo ambiental escape do agente por via processual, registral ou probatória.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CONCLUSÃO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poluidor-pagador não é uma regra sobre quem paga a conta. É um mecanismo de correção de falha de mercado. Sem ele, o preço dos bens produzidos não expressa seu custo real, e a degradação segue sendo a escolha racional para o agente econômico.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REsp 1.198.727/MG mostra o princípio cumprindo essa função dentro do processo civil. Ao admitir a cumulação da obrigação de recuperar com a de indenizar, o STJ recusou uma reparação apenas aparente e alocou integralmente o custo ambiental em quem o gerou. As Súmulas 618, 623 e 629 estenderam a mesma lógica ao regime probatório e à transmissibilidade da obrigação. No plano normativo e jurisprudencial, portanto, o sistema brasileiro de responsabilidade civil ambiental tornou-se bastante robusto.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Sobra, porém, uma dificuldade séria, e seria cômodo encerrar sem mencioná-la: quantificar. Não há metodologia consolidada para medir o dano ambiental interino e converter em reais os serviços ecossistêmicos perdidos durante a regeneração. E aqui a questão volta ao ponto de partida deste trabalho. Enquanto a Natureza continuar sendo contabilizada como fornecedora gratuita, faltará ao juiz o parâmetro para calcular o que o poluidor deve. Sem preço, não há internalização — e a reparação integral corre o risco de permanecer, em boa medida, uma promessa bem escrita.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BENJAMIN, Antonio Herman V. O princípio poluidor-pagador e a reparação do dano ambiental. In: BENJAMIN, Antonio Herman V. (coord.).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Dano ambiental: prevenção, reparação e repressão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São Paulo: Revista dos Tribunais, 1993. p. 226-236.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Lei n. 6.938, de 31 de agosto de 1981. Dispõe sobre a Política Nacional do Meio Ambiente, seus fins e mecanismos de formulação e aplicação, e dá outras providências. Brasília, DF: Presidência da República, 1981.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1.198.727/MG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Julgado em 14 ago. 2012. DJe 9 maio 2013.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Súmulas n. 618, 623 e 629. Brasília, DF: STJ.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p. ___.</w:t>
      </w:r>
    </w:p>
    <w:p>
      <w:pPr>
        <w:pBdr>
          <w:top w:val="single" w:color="999999" w:sz="6" w:space="8"/>
        </w:pBdr>
        <w:spacing w:before="480" w:line="24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444444"/>
          <w:sz w:val="18"/>
          <w:szCs w:val="18"/>
        </w:rPr>
        <w:t xml:space="preserve">Nota de trabalho (remover antes de qualquer uso formal): as citações diretas de Sarlet e Fensterseifer foram extraídas do item 1 do capítulo sobre ética ecológica, “Considerações iniciais: a ampliação do círculo moral e a expansão do reconhecimento de direitos para além do espectro humano” — a primeira do trecho sobre serviços ambientais, a segunda do trecho sobre a dimensão intrageracional da ética ecológica. Preencher as páginas “___” com o exemplar em mãos. O intervalo de páginas do capítulo de Herman Benjamin refere-se à edição de 1993 e convém ser conferido.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2026-08-31T02:55:17.798Z</dcterms:created>
  <dcterms:modified xsi:type="dcterms:W3CDTF">2026-08-31T02:55:17.798Z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