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C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VINÍCIUS DA CRUZ MOREIRA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182.181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descrever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101)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 é o que importa: gratuitamente. Um bem de valor altíssimo e preço zero. Os autores atribuem esse desprezo a uma causa que vale registrar: "A “tecnologia” da Natureza foi, em grande parte, menosprezada pelo ser humano, o que se deve, em grande medida, à soberba da nossa espécie ao crer na sua inteligência (supostamente) superior"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registram que muitos suportam injustamente o ônus e as externalidades ecológicas negativas decorrentes dos altos padrões industriais e de consumo dos países desenvolvidos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"discute-se, cada vez mais, inclusive como princípio e dever jurídico, a priorização de soluções baseadas na Natureza, o que coaduna, por exemplo, com uma ética do cuidado e da prevenção e precaução de danos ao meio ambiente, inclusive em vista do futuro" (SARLET; FENSTERSEIFER, 2026, p. 101).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2026-09-04T21:20:28.581Z</dcterms:created>
  <dcterms:modified xsi:type="dcterms:W3CDTF">2026-09-04T21:20:28.581Z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