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910" w:rsidRDefault="00364910" w:rsidP="00364910"/>
    <w:tbl>
      <w:tblPr>
        <w:tblStyle w:val="Tabelraster"/>
        <w:tblW w:w="0" w:type="auto"/>
        <w:tblLook w:val="04A0" w:firstRow="1" w:lastRow="0" w:firstColumn="1" w:lastColumn="0" w:noHBand="0" w:noVBand="1"/>
      </w:tblPr>
      <w:tblGrid>
        <w:gridCol w:w="4245"/>
        <w:gridCol w:w="4245"/>
      </w:tblGrid>
      <w:tr w:rsidR="00364910" w:rsidTr="00273A16">
        <w:trPr>
          <w:trHeight w:val="636"/>
        </w:trPr>
        <w:tc>
          <w:tcPr>
            <w:tcW w:w="4245" w:type="dxa"/>
          </w:tcPr>
          <w:p w:rsidR="00364910" w:rsidRPr="00B90F95" w:rsidRDefault="00364910" w:rsidP="00273A16">
            <w:pPr>
              <w:rPr>
                <w:b/>
                <w:sz w:val="26"/>
                <w:szCs w:val="26"/>
              </w:rPr>
            </w:pPr>
            <w:r>
              <w:rPr>
                <w:b/>
                <w:sz w:val="26"/>
                <w:szCs w:val="26"/>
              </w:rPr>
              <w:t>Naam:</w:t>
            </w:r>
          </w:p>
        </w:tc>
        <w:tc>
          <w:tcPr>
            <w:tcW w:w="4245" w:type="dxa"/>
          </w:tcPr>
          <w:p w:rsidR="00364910" w:rsidRPr="00364910" w:rsidRDefault="00364910" w:rsidP="00273A16">
            <w:pPr>
              <w:pStyle w:val="Default"/>
              <w:rPr>
                <w:sz w:val="26"/>
                <w:szCs w:val="26"/>
              </w:rPr>
            </w:pPr>
            <w:proofErr w:type="spellStart"/>
            <w:r>
              <w:rPr>
                <w:rFonts w:asciiTheme="minorHAnsi" w:hAnsiTheme="minorHAnsi"/>
                <w:iCs/>
              </w:rPr>
              <w:t>Barroc</w:t>
            </w:r>
            <w:proofErr w:type="spellEnd"/>
            <w:r>
              <w:rPr>
                <w:rFonts w:asciiTheme="minorHAnsi" w:hAnsiTheme="minorHAnsi"/>
                <w:iCs/>
              </w:rPr>
              <w:t xml:space="preserve"> IT</w:t>
            </w:r>
            <w:r w:rsidRPr="00364910">
              <w:rPr>
                <w:rFonts w:asciiTheme="minorHAnsi" w:hAnsiTheme="minorHAnsi"/>
                <w:iCs/>
              </w:rPr>
              <w:t xml:space="preserve"> </w:t>
            </w:r>
          </w:p>
        </w:tc>
      </w:tr>
      <w:tr w:rsidR="00364910" w:rsidTr="00273A16">
        <w:trPr>
          <w:trHeight w:val="601"/>
        </w:trPr>
        <w:tc>
          <w:tcPr>
            <w:tcW w:w="4245" w:type="dxa"/>
          </w:tcPr>
          <w:p w:rsidR="00364910" w:rsidRPr="00364910" w:rsidRDefault="00364910" w:rsidP="00273A16">
            <w:pPr>
              <w:rPr>
                <w:b/>
                <w:sz w:val="26"/>
                <w:szCs w:val="26"/>
              </w:rPr>
            </w:pPr>
            <w:r w:rsidRPr="00364910">
              <w:rPr>
                <w:b/>
                <w:sz w:val="26"/>
                <w:szCs w:val="26"/>
              </w:rPr>
              <w:t>Versie:</w:t>
            </w:r>
          </w:p>
        </w:tc>
        <w:tc>
          <w:tcPr>
            <w:tcW w:w="4245" w:type="dxa"/>
          </w:tcPr>
          <w:p w:rsidR="00364910" w:rsidRPr="00364910" w:rsidRDefault="00364910" w:rsidP="00273A16">
            <w:pPr>
              <w:pStyle w:val="Default"/>
              <w:rPr>
                <w:rFonts w:asciiTheme="minorHAnsi" w:hAnsiTheme="minorHAnsi"/>
              </w:rPr>
            </w:pPr>
            <w:r w:rsidRPr="00364910">
              <w:rPr>
                <w:rFonts w:asciiTheme="minorHAnsi" w:hAnsiTheme="minorHAnsi"/>
                <w:iCs/>
              </w:rPr>
              <w:t>1.1</w:t>
            </w:r>
            <w:r w:rsidRPr="00364910">
              <w:rPr>
                <w:rFonts w:asciiTheme="minorHAnsi" w:hAnsiTheme="minorHAnsi"/>
                <w:iCs/>
              </w:rPr>
              <w:t xml:space="preserve"> </w:t>
            </w:r>
          </w:p>
        </w:tc>
      </w:tr>
      <w:tr w:rsidR="00364910" w:rsidTr="00273A16">
        <w:trPr>
          <w:trHeight w:val="636"/>
        </w:trPr>
        <w:tc>
          <w:tcPr>
            <w:tcW w:w="4245" w:type="dxa"/>
          </w:tcPr>
          <w:p w:rsidR="00364910" w:rsidRPr="00B90F95" w:rsidRDefault="00364910" w:rsidP="00273A16">
            <w:pPr>
              <w:rPr>
                <w:b/>
                <w:sz w:val="26"/>
                <w:szCs w:val="26"/>
              </w:rPr>
            </w:pPr>
            <w:r w:rsidRPr="00B90F95">
              <w:rPr>
                <w:b/>
                <w:sz w:val="26"/>
                <w:szCs w:val="26"/>
              </w:rPr>
              <w:t>Actor:</w:t>
            </w:r>
          </w:p>
        </w:tc>
        <w:tc>
          <w:tcPr>
            <w:tcW w:w="4245" w:type="dxa"/>
          </w:tcPr>
          <w:p w:rsidR="00364910" w:rsidRPr="00B90F95" w:rsidRDefault="00364910" w:rsidP="00273A16">
            <w:pPr>
              <w:pStyle w:val="Default"/>
              <w:rPr>
                <w:rFonts w:asciiTheme="minorHAnsi" w:hAnsiTheme="minorHAnsi"/>
              </w:rPr>
            </w:pPr>
            <w:r>
              <w:rPr>
                <w:rFonts w:asciiTheme="minorHAnsi" w:hAnsiTheme="minorHAnsi"/>
              </w:rPr>
              <w:t>Secretariaat, Finance, Development, Sales, Database</w:t>
            </w:r>
          </w:p>
        </w:tc>
      </w:tr>
      <w:tr w:rsidR="00364910" w:rsidTr="00273A16">
        <w:trPr>
          <w:trHeight w:val="601"/>
        </w:trPr>
        <w:tc>
          <w:tcPr>
            <w:tcW w:w="4245" w:type="dxa"/>
          </w:tcPr>
          <w:p w:rsidR="00364910" w:rsidRPr="00B90F95" w:rsidRDefault="00364910" w:rsidP="00273A16">
            <w:pPr>
              <w:rPr>
                <w:b/>
                <w:sz w:val="26"/>
                <w:szCs w:val="26"/>
              </w:rPr>
            </w:pPr>
            <w:r w:rsidRPr="00B90F95">
              <w:rPr>
                <w:b/>
                <w:sz w:val="26"/>
                <w:szCs w:val="26"/>
              </w:rPr>
              <w:t>Preconditie:</w:t>
            </w:r>
          </w:p>
        </w:tc>
        <w:tc>
          <w:tcPr>
            <w:tcW w:w="4245" w:type="dxa"/>
          </w:tcPr>
          <w:p w:rsidR="00364910" w:rsidRPr="00364910" w:rsidRDefault="00364910" w:rsidP="00273A16">
            <w:pPr>
              <w:pStyle w:val="Default"/>
              <w:rPr>
                <w:rFonts w:asciiTheme="minorHAnsi" w:hAnsiTheme="minorHAnsi"/>
              </w:rPr>
            </w:pPr>
            <w:r>
              <w:rPr>
                <w:rFonts w:asciiTheme="minorHAnsi" w:hAnsiTheme="minorHAnsi"/>
                <w:iCs/>
              </w:rPr>
              <w:t xml:space="preserve">Na inloggen heeft de user toegang tot een bepaalde afdeling, werknemers van </w:t>
            </w:r>
            <w:proofErr w:type="spellStart"/>
            <w:r>
              <w:rPr>
                <w:rFonts w:asciiTheme="minorHAnsi" w:hAnsiTheme="minorHAnsi"/>
                <w:iCs/>
              </w:rPr>
              <w:t>finance</w:t>
            </w:r>
            <w:proofErr w:type="spellEnd"/>
            <w:r>
              <w:rPr>
                <w:rFonts w:asciiTheme="minorHAnsi" w:hAnsiTheme="minorHAnsi"/>
                <w:iCs/>
              </w:rPr>
              <w:t xml:space="preserve"> krijgen toegang tot </w:t>
            </w:r>
            <w:proofErr w:type="spellStart"/>
            <w:r>
              <w:rPr>
                <w:rFonts w:asciiTheme="minorHAnsi" w:hAnsiTheme="minorHAnsi"/>
                <w:iCs/>
              </w:rPr>
              <w:t>finance</w:t>
            </w:r>
            <w:proofErr w:type="spellEnd"/>
            <w:r>
              <w:rPr>
                <w:rFonts w:asciiTheme="minorHAnsi" w:hAnsiTheme="minorHAnsi"/>
                <w:iCs/>
              </w:rPr>
              <w:t>, van sales bij sales enz.</w:t>
            </w:r>
          </w:p>
        </w:tc>
      </w:tr>
      <w:tr w:rsidR="00364910" w:rsidTr="00273A16">
        <w:trPr>
          <w:trHeight w:val="636"/>
        </w:trPr>
        <w:tc>
          <w:tcPr>
            <w:tcW w:w="4245" w:type="dxa"/>
          </w:tcPr>
          <w:p w:rsidR="00364910" w:rsidRPr="00B90F95" w:rsidRDefault="00364910" w:rsidP="00273A16">
            <w:pPr>
              <w:rPr>
                <w:b/>
                <w:sz w:val="26"/>
                <w:szCs w:val="26"/>
              </w:rPr>
            </w:pPr>
            <w:r w:rsidRPr="00B90F95">
              <w:rPr>
                <w:b/>
                <w:sz w:val="26"/>
                <w:szCs w:val="26"/>
              </w:rPr>
              <w:t>Beschrijving:</w:t>
            </w:r>
          </w:p>
        </w:tc>
        <w:tc>
          <w:tcPr>
            <w:tcW w:w="4245" w:type="dxa"/>
          </w:tcPr>
          <w:p w:rsidR="00364910" w:rsidRPr="00364910" w:rsidRDefault="00364910" w:rsidP="00273A16">
            <w:pPr>
              <w:pStyle w:val="Default"/>
              <w:rPr>
                <w:rFonts w:asciiTheme="minorHAnsi" w:hAnsiTheme="minorHAnsi"/>
              </w:rPr>
            </w:pPr>
            <w:r>
              <w:rPr>
                <w:rFonts w:asciiTheme="minorHAnsi" w:hAnsiTheme="minorHAnsi"/>
                <w:iCs/>
              </w:rPr>
              <w:t>Per afdeling kom je na inloggen bij de informatie die tot jou afdeling behoort. Het secretariaat kan overal bij. Finance heeft toegang tot de facturen en kan deze ook op inactief zetten. Finance maakt ook offertes klaar die door sales verstuurd worden. Sales heeft verder nog toegang tot alle klantengegevens en kan deze ook aanpassen en op inactief zetten, zij kunnen ook afspraken maken met de klanten. Development kan alle projecten inzien en zij maken de projecten. Het secretariaat kan ook alles dat op inactief staat weer op actief zetten als dat nodig is.</w:t>
            </w:r>
          </w:p>
        </w:tc>
      </w:tr>
      <w:tr w:rsidR="00364910" w:rsidTr="00273A16">
        <w:trPr>
          <w:trHeight w:val="601"/>
        </w:trPr>
        <w:tc>
          <w:tcPr>
            <w:tcW w:w="4245" w:type="dxa"/>
          </w:tcPr>
          <w:p w:rsidR="00364910" w:rsidRPr="00B90F95" w:rsidRDefault="00364910" w:rsidP="00273A16">
            <w:pPr>
              <w:rPr>
                <w:b/>
                <w:sz w:val="26"/>
                <w:szCs w:val="26"/>
              </w:rPr>
            </w:pPr>
            <w:r w:rsidRPr="00B90F95">
              <w:rPr>
                <w:b/>
                <w:sz w:val="26"/>
                <w:szCs w:val="26"/>
              </w:rPr>
              <w:t>Uitzonderingen:</w:t>
            </w:r>
          </w:p>
        </w:tc>
        <w:tc>
          <w:tcPr>
            <w:tcW w:w="4245" w:type="dxa"/>
          </w:tcPr>
          <w:p w:rsidR="00364910" w:rsidRPr="00364910" w:rsidRDefault="00364910" w:rsidP="00273A16">
            <w:pPr>
              <w:pStyle w:val="Default"/>
              <w:rPr>
                <w:rFonts w:asciiTheme="minorHAnsi" w:hAnsiTheme="minorHAnsi"/>
              </w:rPr>
            </w:pPr>
            <w:r>
              <w:rPr>
                <w:rFonts w:asciiTheme="minorHAnsi" w:hAnsiTheme="minorHAnsi"/>
                <w:iCs/>
              </w:rPr>
              <w:t>De database bestaat uit meerdere delen waardoor elke afdeling in dezelfde database zit maar toch andere rechten heeft.</w:t>
            </w:r>
          </w:p>
        </w:tc>
      </w:tr>
      <w:tr w:rsidR="00364910" w:rsidTr="00273A16">
        <w:trPr>
          <w:trHeight w:val="636"/>
        </w:trPr>
        <w:tc>
          <w:tcPr>
            <w:tcW w:w="4245" w:type="dxa"/>
          </w:tcPr>
          <w:p w:rsidR="00364910" w:rsidRPr="00B90F95" w:rsidRDefault="00364910" w:rsidP="00273A16">
            <w:pPr>
              <w:rPr>
                <w:b/>
                <w:sz w:val="26"/>
                <w:szCs w:val="26"/>
              </w:rPr>
            </w:pPr>
            <w:r w:rsidRPr="00B90F95">
              <w:rPr>
                <w:b/>
                <w:sz w:val="26"/>
                <w:szCs w:val="26"/>
              </w:rPr>
              <w:t>Niet-functionele eisen:</w:t>
            </w:r>
          </w:p>
        </w:tc>
        <w:tc>
          <w:tcPr>
            <w:tcW w:w="4245" w:type="dxa"/>
          </w:tcPr>
          <w:p w:rsidR="00364910" w:rsidRPr="00B90F95" w:rsidRDefault="00364910" w:rsidP="00273A16">
            <w:pPr>
              <w:pStyle w:val="Default"/>
              <w:rPr>
                <w:rFonts w:asciiTheme="minorHAnsi" w:hAnsiTheme="minorHAnsi"/>
              </w:rPr>
            </w:pPr>
          </w:p>
        </w:tc>
      </w:tr>
      <w:tr w:rsidR="00364910" w:rsidTr="00273A16">
        <w:trPr>
          <w:trHeight w:val="601"/>
        </w:trPr>
        <w:tc>
          <w:tcPr>
            <w:tcW w:w="4245" w:type="dxa"/>
          </w:tcPr>
          <w:p w:rsidR="00364910" w:rsidRPr="00B90F95" w:rsidRDefault="00364910" w:rsidP="00273A16">
            <w:pPr>
              <w:rPr>
                <w:b/>
                <w:sz w:val="26"/>
                <w:szCs w:val="26"/>
              </w:rPr>
            </w:pPr>
            <w:r w:rsidRPr="00B90F95">
              <w:rPr>
                <w:b/>
                <w:sz w:val="26"/>
                <w:szCs w:val="26"/>
              </w:rPr>
              <w:t>Postconditie:</w:t>
            </w:r>
          </w:p>
        </w:tc>
        <w:tc>
          <w:tcPr>
            <w:tcW w:w="4245" w:type="dxa"/>
          </w:tcPr>
          <w:p w:rsidR="00364910" w:rsidRPr="00364910" w:rsidRDefault="00364910" w:rsidP="00273A16">
            <w:pPr>
              <w:pStyle w:val="Default"/>
              <w:rPr>
                <w:rFonts w:asciiTheme="minorHAnsi" w:hAnsiTheme="minorHAnsi"/>
              </w:rPr>
            </w:pPr>
            <w:r>
              <w:rPr>
                <w:rFonts w:asciiTheme="minorHAnsi" w:hAnsiTheme="minorHAnsi"/>
                <w:iCs/>
              </w:rPr>
              <w:t xml:space="preserve">Alle afdelingen kunnen apart inloggen en </w:t>
            </w:r>
            <w:r w:rsidR="008D6ADE">
              <w:rPr>
                <w:rFonts w:asciiTheme="minorHAnsi" w:hAnsiTheme="minorHAnsi"/>
                <w:iCs/>
              </w:rPr>
              <w:t>kunnen informatie zien en bijwerken dat bij hun afdeling hoort.</w:t>
            </w:r>
            <w:bookmarkStart w:id="0" w:name="_GoBack"/>
            <w:bookmarkEnd w:id="0"/>
          </w:p>
        </w:tc>
      </w:tr>
    </w:tbl>
    <w:p w:rsidR="00364910" w:rsidRDefault="00364910" w:rsidP="00364910"/>
    <w:p w:rsidR="00751DA8" w:rsidRDefault="00751DA8"/>
    <w:sectPr w:rsidR="00751D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10"/>
    <w:rsid w:val="00364910"/>
    <w:rsid w:val="00751DA8"/>
    <w:rsid w:val="008D6A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24853-8FA3-4F61-8230-CE49B360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6491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64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649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170</Words>
  <Characters>937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1</cp:revision>
  <dcterms:created xsi:type="dcterms:W3CDTF">2015-09-16T08:53:00Z</dcterms:created>
  <dcterms:modified xsi:type="dcterms:W3CDTF">2015-09-16T09:04:00Z</dcterms:modified>
</cp:coreProperties>
</file>