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5943600" cy="2971800"/>
            <wp:docPr id="1" name="Picture 1" descr="APAR project cover showing the Identify, Generate, Defend, and Assure loop." title="APAR project cover showing the Identify, Generate, Defend, and Assure loop."/>
            <wp:cNvGraphicFramePr>
              <a:graphicFrameLocks noChangeAspect="1"/>
            </wp:cNvGraphicFramePr>
            <a:graphic>
              <a:graphicData uri="http://schemas.openxmlformats.org/drawingml/2006/picture">
                <pic:pic>
                  <pic:nvPicPr>
                    <pic:cNvPr id="0" name="apar-project-cover-master.png"/>
                    <pic:cNvPicPr/>
                  </pic:nvPicPr>
                  <pic:blipFill>
                    <a:blip r:embed="rId11"/>
                    <a:stretch>
                      <a:fillRect/>
                    </a:stretch>
                  </pic:blipFill>
                  <pic:spPr>
                    <a:xfrm>
                      <a:off x="0" y="0"/>
                      <a:ext cx="5943600" cy="2971800"/>
                    </a:xfrm>
                    <a:prstGeom prst="rect"/>
                  </pic:spPr>
                </pic:pic>
              </a:graphicData>
            </a:graphic>
          </wp:inline>
        </w:drawing>
      </w:r>
    </w:p>
    <w:p>
      <w:pPr>
        <w:spacing w:after="80"/>
        <w:jc w:val="left"/>
      </w:pPr>
      <w:r>
        <w:rPr>
          <w:rFonts w:ascii="Calibri" w:hAnsi="Calibri"/>
          <w:b/>
          <w:color w:val="E8793D"/>
          <w:sz w:val="20"/>
        </w:rPr>
        <w:t>SOLUTION WALKTHROUGH</w:t>
      </w:r>
    </w:p>
    <w:p>
      <w:pPr>
        <w:spacing w:after="120"/>
      </w:pPr>
      <w:r>
        <w:rPr>
          <w:rFonts w:ascii="Georgia" w:hAnsi="Georgia"/>
          <w:b/>
          <w:color w:val="19150F"/>
          <w:sz w:val="60"/>
        </w:rPr>
        <w:t>APAR</w:t>
      </w:r>
    </w:p>
    <w:p>
      <w:pPr>
        <w:spacing w:after="400"/>
      </w:pPr>
      <w:r>
        <w:rPr>
          <w:rFonts w:ascii="Calibri" w:hAnsi="Calibri"/>
          <w:b/>
          <w:color w:val="3F382E"/>
          <w:sz w:val="32"/>
        </w:rPr>
        <w:t>Adaptive Payment Assurance Range</w:t>
      </w:r>
    </w:p>
    <w:tbl>
      <w:tblPr>
        <w:tblW w:type="dxa" w:w="9360"/>
        <w:jc w:val="left"/>
        <w:tblLayout w:type="fixed"/>
        <w:tblLook w:firstColumn="1" w:firstRow="1" w:lastColumn="0" w:lastRow="0" w:noHBand="0" w:noVBand="1" w:val="04A0"/>
        <w:tblInd w:type="dxa" w:w="220"/>
      </w:tblPr>
      <w:tblGrid>
        <w:gridCol w:w="9360"/>
      </w:tblGrid>
      <w:tr>
        <w:tc>
          <w:tcPr>
            <w:tcW w:type="dxa" w:w="9360"/>
            <w:shd w:fill="F6E5D8"/>
            <w:tcBorders>
              <w:top w:val="single" w:sz="10" w:color="E8793D"/>
              <w:left w:val="single" w:sz="10" w:color="E8793D"/>
              <w:bottom w:val="single" w:sz="10" w:color="E8793D"/>
              <w:right w:val="single" w:sz="10" w:color="E8793D"/>
              <w:insideH w:val="single" w:sz="10" w:color="E8793D"/>
              <w:insideV w:val="single" w:sz="10" w:color="E8793D"/>
            </w:tcBorders>
            <w:tcMar>
              <w:top w:w="180" w:type="dxa"/>
              <w:bottom w:w="180" w:type="dxa"/>
              <w:start w:w="220" w:type="dxa"/>
              <w:end w:w="220" w:type="dxa"/>
            </w:tcMar>
          </w:tcPr>
          <w:p>
            <w:pPr>
              <w:spacing w:after="80"/>
            </w:pPr>
            <w:r>
              <w:rPr>
                <w:rFonts w:ascii="Calibri" w:hAnsi="Calibri"/>
                <w:b/>
                <w:color w:val="19150F"/>
                <w:sz w:val="22"/>
              </w:rPr>
              <w:t>Assure the campaign. Verify the intent. Promote only the evidence.</w:t>
            </w:r>
          </w:p>
          <w:p>
            <w:pPr>
              <w:spacing w:after="0"/>
            </w:pPr>
            <w:r>
              <w:rPr>
                <w:rFonts w:ascii="Calibri" w:hAnsi="Calibri"/>
                <w:color w:val="3F382E"/>
                <w:sz w:val="21"/>
              </w:rPr>
              <w:t>APAR is a pre-production assurance range that turns emerging GenAI-enabled payment threats into bounded synthetic campaigns, executes them through rail-correct lifecycles, compares defenses, verifies delegated intent, and preserves a human-controlled promotion boundary.</w:t>
            </w:r>
          </w:p>
        </w:tc>
      </w:tr>
    </w:tbl>
    <w:p>
      <w:pPr>
        <w:spacing w:after="40"/>
      </w:pPr>
    </w:p>
    <w:tbl>
      <w:tblPr>
        <w:tblW w:type="dxa" w:w="9360"/>
        <w:jc w:val="left"/>
        <w:tblLayout w:type="fixed"/>
        <w:tblLook w:firstColumn="1" w:firstRow="1" w:lastColumn="0" w:lastRow="0" w:noHBand="0" w:noVBand="1" w:val="04A0"/>
        <w:tblInd w:type="dxa" w:w="120"/>
      </w:tblPr>
      <w:tblGrid>
        <w:gridCol w:w="2700"/>
        <w:gridCol w:w="6660"/>
      </w:tblGrid>
      <w:tr>
        <w:tc>
          <w:tcPr>
            <w:tcW w:type="dxa" w:w="27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b/>
                <w:color w:val="19150F"/>
                <w:sz w:val="19"/>
              </w:rPr>
              <w:t>Team</w:t>
            </w:r>
          </w:p>
        </w:tc>
        <w:tc>
          <w:tcPr>
            <w:tcW w:type="dxa" w:w="66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LedgerPeLabs</w:t>
            </w:r>
          </w:p>
        </w:tc>
      </w:tr>
      <w:tr>
        <w:tc>
          <w:tcPr>
            <w:tcW w:type="dxa" w:w="27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b/>
                <w:color w:val="19150F"/>
                <w:sz w:val="19"/>
              </w:rPr>
              <w:t>Track</w:t>
            </w:r>
          </w:p>
        </w:tc>
        <w:tc>
          <w:tcPr>
            <w:tcW w:type="dxa" w:w="66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AI Defense Lab for Payment Security</w:t>
            </w:r>
          </w:p>
        </w:tc>
      </w:tr>
      <w:tr>
        <w:tc>
          <w:tcPr>
            <w:tcW w:type="dxa" w:w="27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b/>
                <w:color w:val="19150F"/>
                <w:sz w:val="19"/>
              </w:rPr>
              <w:t>Competition</w:t>
            </w:r>
          </w:p>
        </w:tc>
        <w:tc>
          <w:tcPr>
            <w:tcW w:type="dxa" w:w="66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Mastercard Innovation Challenge 2026</w:t>
            </w:r>
          </w:p>
        </w:tc>
      </w:tr>
      <w:tr>
        <w:tc>
          <w:tcPr>
            <w:tcW w:type="dxa" w:w="27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b/>
                <w:color w:val="19150F"/>
                <w:sz w:val="19"/>
              </w:rPr>
              <w:t>Submission date</w:t>
            </w:r>
          </w:p>
        </w:tc>
        <w:tc>
          <w:tcPr>
            <w:tcW w:type="dxa" w:w="66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31 August 2026</w:t>
            </w:r>
          </w:p>
        </w:tc>
      </w:tr>
    </w:tbl>
    <w:p>
      <w:r>
        <w:br w:type="page"/>
      </w:r>
    </w:p>
    <w:p>
      <w:pPr>
        <w:pStyle w:val="Heading1"/>
      </w:pPr>
      <w:r>
        <w:t>1. Executive summary</w:t>
      </w:r>
    </w:p>
    <w:p>
      <w:r>
        <w:t>Generative AI does not create a new payment rail; it changes attacker speed, personalization, coordination, and autonomy. APAR therefore evaluates fraud as a campaign and a control-system problem rather than as isolated transaction classification. The system closes the loop from threat evidence to simulation, defense comparison, failure discovery, and governed promotion evidence.</w:t>
      </w:r>
    </w:p>
    <w:tbl>
      <w:tblPr>
        <w:tblW w:type="dxa" w:w="9360"/>
        <w:jc w:val="left"/>
        <w:tblLayout w:type="fixed"/>
        <w:tblLook w:firstColumn="1" w:firstRow="1" w:lastColumn="0" w:lastRow="0" w:noHBand="0" w:noVBand="1" w:val="04A0"/>
        <w:tblInd w:type="dxa" w:w="220"/>
      </w:tblPr>
      <w:tblGrid>
        <w:gridCol w:w="9360"/>
      </w:tblGrid>
      <w:tr>
        <w:tc>
          <w:tcPr>
            <w:tcW w:type="dxa" w:w="9360"/>
            <w:shd w:fill="F6E5D8"/>
            <w:tcBorders>
              <w:top w:val="single" w:sz="10" w:color="E8793D"/>
              <w:left w:val="single" w:sz="10" w:color="E8793D"/>
              <w:bottom w:val="single" w:sz="10" w:color="E8793D"/>
              <w:right w:val="single" w:sz="10" w:color="E8793D"/>
              <w:insideH w:val="single" w:sz="10" w:color="E8793D"/>
              <w:insideV w:val="single" w:sz="10" w:color="E8793D"/>
            </w:tcBorders>
            <w:tcMar>
              <w:top w:w="180" w:type="dxa"/>
              <w:bottom w:w="180" w:type="dxa"/>
              <w:start w:w="220" w:type="dxa"/>
              <w:end w:w="220" w:type="dxa"/>
            </w:tcMar>
          </w:tcPr>
          <w:p>
            <w:pPr>
              <w:spacing w:after="80"/>
            </w:pPr>
            <w:r>
              <w:rPr>
                <w:rFonts w:ascii="Calibri" w:hAnsi="Calibri"/>
                <w:b/>
                <w:color w:val="19150F"/>
                <w:sz w:val="22"/>
              </w:rPr>
              <w:t>Competition fit</w:t>
            </w:r>
          </w:p>
          <w:p>
            <w:pPr>
              <w:spacing w:after="0"/>
            </w:pPr>
            <w:r>
              <w:rPr>
                <w:rFonts w:ascii="Calibri" w:hAnsi="Calibri"/>
                <w:color w:val="3F382E"/>
                <w:sz w:val="21"/>
              </w:rPr>
              <w:t>APAR directly implements Identify, Generate, and Defend, then adds an assurance layer so the evidence is causal, reproducible, tamper-evident, and suitable for human review.</w:t>
            </w:r>
          </w:p>
        </w:tc>
      </w:tr>
    </w:tbl>
    <w:p>
      <w:pPr>
        <w:spacing w:after="40"/>
      </w:pPr>
    </w:p>
    <w:tbl>
      <w:tblPr>
        <w:tblW w:type="dxa" w:w="9360"/>
        <w:jc w:val="left"/>
        <w:tblLayout w:type="fixed"/>
        <w:tblLook w:firstColumn="1" w:firstRow="1" w:lastColumn="0" w:lastRow="0" w:noHBand="0" w:noVBand="1" w:val="04A0"/>
        <w:tblInd w:type="dxa" w:w="120"/>
      </w:tblPr>
      <w:tblGrid>
        <w:gridCol w:w="1900"/>
        <w:gridCol w:w="3400"/>
        <w:gridCol w:w="4060"/>
      </w:tblGrid>
      <w:tr>
        <w:trPr>
          <w:tblHeader w:val="true"/>
        </w:trP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Evaluation area</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APAR response</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Demonstrable proof</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Attack diversity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Evidence-backed threat registry</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20 typed threat cards; four executable families</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Simulation fidelity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Stateful rail and ledger execution</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Card, A2A, and agentic adapters; lifecycle and conservation tests</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Detection efficacy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Calibrated graph-aware ensemble</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Four-arm comparison and exact portable-model replay</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Novelty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Campaign assurance plus intent integrity</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Adaptive search, TrustVerifier, and content-addressed evidence</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Feasibility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Shadow-mode adoption path</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CPU scorer, selective actions, capacity gates, and human promotion</w:t>
            </w:r>
          </w:p>
        </w:tc>
      </w:tr>
    </w:tbl>
    <w:p>
      <w:pPr>
        <w:spacing w:after="40"/>
      </w:pPr>
    </w:p>
    <w:p>
      <w:pPr>
        <w:pStyle w:val="Heading2"/>
      </w:pPr>
      <w:r>
        <w:t>Team LedgerPeLabs</w:t>
      </w:r>
    </w:p>
    <w:p>
      <w:r>
        <w:t>The competition team brings together product, engineering, fraud-defense, and research perspectives.</w:t>
      </w:r>
    </w:p>
    <w:p>
      <w:pPr>
        <w:pStyle w:val="ListBullet"/>
      </w:pPr>
      <w:r>
        <w:t>Dylan Moraes</w:t>
      </w:r>
    </w:p>
    <w:p>
      <w:pPr>
        <w:pStyle w:val="ListBullet"/>
      </w:pPr>
      <w:r>
        <w:t>Anuj Sharma</w:t>
      </w:r>
    </w:p>
    <w:p>
      <w:pPr>
        <w:pStyle w:val="ListBullet"/>
      </w:pPr>
      <w:r>
        <w:t>Dhananjay Joshi</w:t>
      </w:r>
    </w:p>
    <w:p>
      <w:pPr>
        <w:pStyle w:val="ListBullet"/>
      </w:pPr>
      <w:r>
        <w:t>Rahul Biradar</w:t>
      </w:r>
    </w:p>
    <w:p>
      <w:r>
        <w:br w:type="page"/>
      </w:r>
    </w:p>
    <w:p>
      <w:pPr>
        <w:pStyle w:val="Heading1"/>
      </w:pPr>
      <w:r>
        <w:t>2. Identify: emerging GenAI-enabled payment threats</w:t>
      </w:r>
    </w:p>
    <w:p>
      <w:r>
        <w:t>APAR separates observed threat evidence from modeled GenAI capability changes. Each threat card records the affected rail, attack stages, observables, confidence, provenance, simulation support, and safety classification. This prevents an LLM-generated idea from silently becoming a factual claim.</w:t>
      </w:r>
    </w:p>
    <w:p>
      <w:r>
        <w:t>The implemented deep-dive portfolio contains four campaign families:</w:t>
      </w:r>
    </w:p>
    <w:p>
      <w:pPr>
        <w:pStyle w:val="ListBullet"/>
      </w:pPr>
      <w:r>
        <w:t>AI-personalized APP scams with mule-network convergence and staged cash-out.</w:t>
      </w:r>
    </w:p>
    <w:p>
      <w:pPr>
        <w:pStyle w:val="ListBullet"/>
      </w:pPr>
      <w:r>
        <w:t>Adaptive card-testing and card-not-present bursts that vary pacing, amounts, and reuse.</w:t>
      </w:r>
    </w:p>
    <w:p>
      <w:pPr>
        <w:pStyle w:val="ListBullet"/>
      </w:pPr>
      <w:r>
        <w:t>Synthetic merchant, identity, refund, dispute, and payout abuse across lifecycle stages.</w:t>
      </w:r>
    </w:p>
    <w:p>
      <w:pPr>
        <w:pStyle w:val="ListBullet"/>
      </w:pPr>
      <w:r>
        <w:t>Agentic-payment intent abuse: mandate violation, cart mutation, merchant substitution, replay, and token-scope abuse.</w:t>
      </w:r>
    </w:p>
    <w:p>
      <w:r>
        <w:t>The broader registry also covers credential compromise, deepfake-assisted social engineering, multilingual personalization, onboarding abuse, cross-channel coordination, and autonomous reconnaissance. Executable depth is deliberately bounded so every scenario remains reviewable and safe.</w:t>
      </w:r>
    </w:p>
    <w:tbl>
      <w:tblPr>
        <w:tblW w:type="dxa" w:w="9360"/>
        <w:jc w:val="left"/>
        <w:tblLayout w:type="fixed"/>
        <w:tblLook w:firstColumn="1" w:firstRow="1" w:lastColumn="0" w:lastRow="0" w:noHBand="0" w:noVBand="1" w:val="04A0"/>
        <w:tblInd w:type="dxa" w:w="120"/>
      </w:tblPr>
      <w:tblGrid>
        <w:gridCol w:w="2300"/>
        <w:gridCol w:w="1800"/>
        <w:gridCol w:w="5260"/>
      </w:tblGrid>
      <w:tr>
        <w:trPr>
          <w:tblHeader w:val="true"/>
        </w:trPr>
        <w:tc>
          <w:tcPr>
            <w:tcW w:type="dxa" w:w="23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Executable family</w:t>
            </w:r>
          </w:p>
        </w:tc>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Payment context</w:t>
            </w:r>
          </w:p>
        </w:tc>
        <w:tc>
          <w:tcPr>
            <w:tcW w:type="dxa" w:w="52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Campaign structure</w:t>
            </w:r>
          </w:p>
        </w:tc>
      </w:tr>
      <w:tr>
        <w:tc>
          <w:tcPr>
            <w:tcW w:type="dxa" w:w="23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APP scam and mule</w:t>
            </w:r>
          </w:p>
        </w:tc>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A2A</w:t>
            </w:r>
          </w:p>
        </w:tc>
        <w:tc>
          <w:tcPr>
            <w:tcW w:type="dxa" w:w="52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Victim persuasion -&gt; authorized transfer -&gt; convergence -&gt; cash-out</w:t>
            </w:r>
          </w:p>
        </w:tc>
      </w:tr>
      <w:tr>
        <w:tc>
          <w:tcPr>
            <w:tcW w:type="dxa" w:w="23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Card testing CNP</w:t>
            </w:r>
          </w:p>
        </w:tc>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Card</w:t>
            </w:r>
          </w:p>
        </w:tc>
        <w:tc>
          <w:tcPr>
            <w:tcW w:type="dxa" w:w="52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Low-value probes -&gt; retry adaptation -&gt; merchant/device burst</w:t>
            </w:r>
          </w:p>
        </w:tc>
      </w:tr>
      <w:tr>
        <w:tc>
          <w:tcPr>
            <w:tcW w:type="dxa" w:w="23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Synthetic merchant/refund</w:t>
            </w:r>
          </w:p>
        </w:tc>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Card</w:t>
            </w:r>
          </w:p>
        </w:tc>
        <w:tc>
          <w:tcPr>
            <w:tcW w:type="dxa" w:w="52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Onboarding -&gt; authorization -&gt; refund/dispute -&gt; payout</w:t>
            </w:r>
          </w:p>
        </w:tc>
      </w:tr>
      <w:tr>
        <w:tc>
          <w:tcPr>
            <w:tcW w:type="dxa" w:w="23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Agentic intent abuse</w:t>
            </w:r>
          </w:p>
        </w:tc>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Agentic</w:t>
            </w:r>
          </w:p>
        </w:tc>
        <w:tc>
          <w:tcPr>
            <w:tcW w:type="dxa" w:w="52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Mandate or cart mutation -&gt; authority verification -&gt; payment attempt</w:t>
            </w:r>
          </w:p>
        </w:tc>
      </w:tr>
    </w:tbl>
    <w:p>
      <w:pPr>
        <w:spacing w:after="40"/>
      </w:pPr>
    </w:p>
    <w:p>
      <w:r>
        <w:br w:type="page"/>
      </w:r>
    </w:p>
    <w:p>
      <w:pPr>
        <w:keepNext/>
        <w:jc w:val="center"/>
      </w:pPr>
      <w:r>
        <w:drawing>
          <wp:inline xmlns:a="http://schemas.openxmlformats.org/drawingml/2006/main" xmlns:pic="http://schemas.openxmlformats.org/drawingml/2006/picture">
            <wp:extent cx="4754880" cy="7310628"/>
            <wp:docPr id="2" name="Picture 2" descr="APAR Overview: sourced threat framing and the closed Identify-Generate-Defend-Assure loop." title="APAR Overview: sourced threat framing and the closed Identify-Generate-Defend-Assure loop."/>
            <wp:cNvGraphicFramePr>
              <a:graphicFrameLocks noChangeAspect="1"/>
            </wp:cNvGraphicFramePr>
            <a:graphic>
              <a:graphicData uri="http://schemas.openxmlformats.org/drawingml/2006/picture">
                <pic:pic>
                  <pic:nvPicPr>
                    <pic:cNvPr id="0" name="apar-console-overview-desktop.png"/>
                    <pic:cNvPicPr/>
                  </pic:nvPicPr>
                  <pic:blipFill>
                    <a:blip r:embed="rId12"/>
                    <a:stretch>
                      <a:fillRect/>
                    </a:stretch>
                  </pic:blipFill>
                  <pic:spPr>
                    <a:xfrm>
                      <a:off x="0" y="0"/>
                      <a:ext cx="4754880" cy="7310628"/>
                    </a:xfrm>
                    <a:prstGeom prst="rect"/>
                  </pic:spPr>
                </pic:pic>
              </a:graphicData>
            </a:graphic>
          </wp:inline>
        </w:drawing>
      </w:r>
    </w:p>
    <w:p>
      <w:pPr>
        <w:spacing w:before="40" w:after="200"/>
        <w:jc w:val="center"/>
      </w:pPr>
      <w:r>
        <w:rPr>
          <w:rFonts w:ascii="Calibri" w:hAnsi="Calibri"/>
          <w:i/>
          <w:color w:val="6B5F50"/>
          <w:sz w:val="17"/>
        </w:rPr>
        <w:t>APAR Overview: sourced threat framing and the closed Identify-Generate-Defend-Assure loop.</w:t>
      </w:r>
    </w:p>
    <w:p>
      <w:pPr>
        <w:pStyle w:val="Heading1"/>
        <w:pageBreakBefore/>
      </w:pPr>
      <w:r>
        <w:t>3. Generate: high-fidelity synthetic campaigns</w:t>
      </w:r>
    </w:p>
    <w:p>
      <w:r>
        <w:t>Fraud cases are not hand-authored rows. The production corpus path runs PopulationGenerator -&gt; CampaignGenerator -&gt; SimulationEngine -&gt; rail adapter -&gt; events -&gt; ledger -&gt; validated evidence -&gt; decision rows. The event-to-row projection preserves concrete event IDs, amounts, rails, lifecycle states, and decision-time availability.</w:t>
      </w:r>
    </w:p>
    <w:p>
      <w:pPr>
        <w:pStyle w:val="Heading2"/>
      </w:pPr>
      <w:r>
        <w:t>Fidelity controls</w:t>
      </w:r>
    </w:p>
    <w:p>
      <w:pPr>
        <w:pStyle w:val="ListBullet"/>
      </w:pPr>
      <w:r>
        <w:t>Explicit authorization, transfer, settlement, refund, reversal, and recovery states.</w:t>
      </w:r>
    </w:p>
    <w:p>
      <w:pPr>
        <w:pStyle w:val="ListBullet"/>
      </w:pPr>
      <w:r>
        <w:t>Separate event, ingestion, feature, and decision timestamps; future data is excluded.</w:t>
      </w:r>
    </w:p>
    <w:p>
      <w:pPr>
        <w:pStyle w:val="ListBullet"/>
      </w:pPr>
      <w:r>
        <w:t>Ledger conservation and lifecycle dependencies; failed or reversed value cannot fund cash-out.</w:t>
      </w:r>
    </w:p>
    <w:p>
      <w:pPr>
        <w:pStyle w:val="ListBullet"/>
      </w:pPr>
      <w:r>
        <w:t>Benign novelty including retries, shared devices, travel, missing fields, and changing channel use.</w:t>
      </w:r>
    </w:p>
    <w:p>
      <w:pPr>
        <w:pStyle w:val="ListBullet"/>
      </w:pPr>
      <w:r>
        <w:t>Bounded attacker budgets, declared feedback, hidden validity constraints, and deterministic replay manifests.</w:t>
      </w:r>
    </w:p>
    <w:p>
      <w:r>
        <w:t>The generator is useful because it produces campaign structure and operational edge cases, not just statistically similar independent rows. The resulting data supports both model training and stress testing.</w:t>
      </w:r>
    </w:p>
    <w:tbl>
      <w:tblPr>
        <w:tblW w:type="dxa" w:w="9360"/>
        <w:jc w:val="left"/>
        <w:tblLayout w:type="fixed"/>
        <w:tblLook w:firstColumn="1" w:firstRow="1" w:lastColumn="0" w:lastRow="0" w:noHBand="0" w:noVBand="1" w:val="04A0"/>
        <w:tblInd w:type="dxa" w:w="120"/>
      </w:tblPr>
      <w:tblGrid>
        <w:gridCol w:w="2200"/>
        <w:gridCol w:w="3400"/>
        <w:gridCol w:w="3760"/>
      </w:tblGrid>
      <w:tr>
        <w:trPr>
          <w:tblHeader w:val="true"/>
        </w:trP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Simulator contract</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Preserved evidence</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Why it matters</w:t>
            </w:r>
          </w:p>
        </w:tc>
      </w:tr>
      <w:t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Causal time</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Event, ingestion, feature, and decision clocks</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Prevents future information from reaching a decision</w:t>
            </w:r>
          </w:p>
        </w:tc>
      </w:tr>
      <w:t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Rail lifecycle</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Authorization, transfer, settlement, refund, reversal</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Matches payment-state ownership and recovery semantics</w:t>
            </w:r>
          </w:p>
        </w:tc>
      </w:tr>
      <w:t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Economic validity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Opening balances, postings, dependencies</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Prevents impossible cash-out and value creation</w:t>
            </w:r>
          </w:p>
        </w:tc>
      </w:tr>
      <w:t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Campaign identity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Actors, counterparties, edges, source event IDs</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Supports graph features and linked investigation cases</w:t>
            </w:r>
          </w:p>
        </w:tc>
      </w:tr>
      <w:tr>
        <w:tc>
          <w:tcPr>
            <w:tcW w:type="dxa" w:w="22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Replay</w:t>
            </w:r>
          </w:p>
        </w:tc>
        <w:tc>
          <w:tcPr>
            <w:tcW w:type="dxa" w:w="34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Seed, manifest, config, hashes</w:t>
            </w:r>
          </w:p>
        </w:tc>
        <w:tc>
          <w:tcPr>
            <w:tcW w:type="dxa" w:w="37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Makes scenarios deterministic and tamper-evident</w:t>
            </w:r>
          </w:p>
        </w:tc>
      </w:tr>
    </w:tbl>
    <w:p>
      <w:pPr>
        <w:spacing w:after="40"/>
      </w:pPr>
    </w:p>
    <w:p>
      <w:r>
        <w:br w:type="page"/>
      </w:r>
    </w:p>
    <w:p>
      <w:pPr>
        <w:keepNext/>
        <w:jc w:val="center"/>
      </w:pPr>
      <w:r>
        <w:drawing>
          <wp:inline xmlns:a="http://schemas.openxmlformats.org/drawingml/2006/main" xmlns:pic="http://schemas.openxmlformats.org/drawingml/2006/picture">
            <wp:extent cx="4297680" cy="7705979"/>
            <wp:docPr id="3" name="Picture 3" descr="Replay route: synchronized payment lifecycle, campaign evidence, and decision trace." title="Replay route: synchronized payment lifecycle, campaign evidence, and decision trace."/>
            <wp:cNvGraphicFramePr>
              <a:graphicFrameLocks noChangeAspect="1"/>
            </wp:cNvGraphicFramePr>
            <a:graphic>
              <a:graphicData uri="http://schemas.openxmlformats.org/drawingml/2006/picture">
                <pic:pic>
                  <pic:nvPicPr>
                    <pic:cNvPr id="0" name="apar-console-replay-desktop.png"/>
                    <pic:cNvPicPr/>
                  </pic:nvPicPr>
                  <pic:blipFill>
                    <a:blip r:embed="rId13"/>
                    <a:stretch>
                      <a:fillRect/>
                    </a:stretch>
                  </pic:blipFill>
                  <pic:spPr>
                    <a:xfrm>
                      <a:off x="0" y="0"/>
                      <a:ext cx="4297680" cy="7705979"/>
                    </a:xfrm>
                    <a:prstGeom prst="rect"/>
                  </pic:spPr>
                </pic:pic>
              </a:graphicData>
            </a:graphic>
          </wp:inline>
        </w:drawing>
      </w:r>
    </w:p>
    <w:p>
      <w:pPr>
        <w:spacing w:before="40" w:after="200"/>
        <w:jc w:val="center"/>
      </w:pPr>
      <w:r>
        <w:rPr>
          <w:rFonts w:ascii="Calibri" w:hAnsi="Calibri"/>
          <w:i/>
          <w:color w:val="6B5F50"/>
          <w:sz w:val="17"/>
        </w:rPr>
        <w:t>Replay route: synchronized payment lifecycle, campaign evidence, and decision trace.</w:t>
      </w:r>
    </w:p>
    <w:p>
      <w:pPr>
        <w:pStyle w:val="Heading1"/>
        <w:pageBreakBefore/>
      </w:pPr>
      <w:r>
        <w:t>4. Defend: campaign-aware detection and mitigation</w:t>
      </w:r>
    </w:p>
    <w:p>
      <w:r>
        <w:t>The selected competition model is a portable three-member calibrated CatBoost ensemble over 46 frozen, past-only features. It combines transaction context with actor and counterparty velocity, amount deviation, prior pair behavior, fan-in/fan-out, shared neighbors, two-hop reach, burst motifs, component and density summaries, lifecycle signals, and data-quality flags.</w:t>
      </w:r>
    </w:p>
    <w:p>
      <w:r>
        <w:t>The action policy is selective rather than binary: approve, challenge, review-hold, or decline-hold. Selection therefore considers customer friction, review capacity, latency, calibration, and captured value alongside recall and precision.</w:t>
      </w:r>
    </w:p>
    <w:tbl>
      <w:tblPr>
        <w:tblW w:type="dxa" w:w="9360"/>
        <w:jc w:val="left"/>
        <w:tblLayout w:type="fixed"/>
        <w:tblLook w:firstColumn="1" w:firstRow="1" w:lastColumn="0" w:lastRow="0" w:noHBand="0" w:noVBand="1" w:val="04A0"/>
        <w:tblInd w:type="dxa" w:w="120"/>
      </w:tblPr>
      <w:tblGrid>
        <w:gridCol w:w="1900"/>
        <w:gridCol w:w="1120"/>
        <w:gridCol w:w="1180"/>
        <w:gridCol w:w="1020"/>
        <w:gridCol w:w="1450"/>
        <w:gridCol w:w="1370"/>
        <w:gridCol w:w="1320"/>
      </w:tblGrid>
      <w:tr>
        <w:trPr>
          <w:tblHeader w:val="true"/>
        </w:trP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Arm</w:t>
            </w:r>
          </w:p>
        </w:tc>
        <w:tc>
          <w:tcPr>
            <w:tcW w:type="dxa" w:w="11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Recall</w:t>
            </w:r>
          </w:p>
        </w:tc>
        <w:tc>
          <w:tcPr>
            <w:tcW w:type="dxa" w:w="118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Precision</w:t>
            </w:r>
          </w:p>
        </w:tc>
        <w:tc>
          <w:tcPr>
            <w:tcW w:type="dxa" w:w="10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F1</w:t>
            </w:r>
          </w:p>
        </w:tc>
        <w:tc>
          <w:tcPr>
            <w:tcW w:type="dxa" w:w="145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False decline</w:t>
            </w:r>
          </w:p>
        </w:tc>
        <w:tc>
          <w:tcPr>
            <w:tcW w:type="dxa" w:w="137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Challenge</w:t>
            </w:r>
          </w:p>
        </w:tc>
        <w:tc>
          <w:tcPr>
            <w:tcW w:type="dxa" w:w="13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p95 ms</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Rules only</w:t>
            </w:r>
          </w:p>
        </w:tc>
        <w:tc>
          <w:tcPr>
            <w:tcW w:type="dxa" w:w="11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85.949%</w:t>
            </w:r>
          </w:p>
        </w:tc>
        <w:tc>
          <w:tcPr>
            <w:tcW w:type="dxa" w:w="118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14.878%</w:t>
            </w:r>
          </w:p>
        </w:tc>
        <w:tc>
          <w:tcPr>
            <w:tcW w:type="dxa" w:w="10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25.366%</w:t>
            </w:r>
          </w:p>
        </w:tc>
        <w:tc>
          <w:tcPr>
            <w:tcW w:type="dxa" w:w="145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87.436%</w:t>
            </w:r>
          </w:p>
        </w:tc>
        <w:tc>
          <w:tcPr>
            <w:tcW w:type="dxa" w:w="137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2.639%</w:t>
            </w:r>
          </w:p>
        </w:tc>
        <w:tc>
          <w:tcPr>
            <w:tcW w:type="dxa" w:w="13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4.062</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Ensemble, no graph</w:t>
            </w:r>
          </w:p>
        </w:tc>
        <w:tc>
          <w:tcPr>
            <w:tcW w:type="dxa" w:w="11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99.745%</w:t>
            </w:r>
          </w:p>
        </w:tc>
        <w:tc>
          <w:tcPr>
            <w:tcW w:type="dxa" w:w="118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94.756%</w:t>
            </w:r>
          </w:p>
        </w:tc>
        <w:tc>
          <w:tcPr>
            <w:tcW w:type="dxa" w:w="10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97.186%</w:t>
            </w:r>
          </w:p>
        </w:tc>
        <w:tc>
          <w:tcPr>
            <w:tcW w:type="dxa" w:w="145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0.000%</w:t>
            </w:r>
          </w:p>
        </w:tc>
        <w:tc>
          <w:tcPr>
            <w:tcW w:type="dxa" w:w="137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0.802%</w:t>
            </w:r>
          </w:p>
        </w:tc>
        <w:tc>
          <w:tcPr>
            <w:tcW w:type="dxa" w:w="13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3.382</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Ensemble with graph</w:t>
            </w:r>
          </w:p>
        </w:tc>
        <w:tc>
          <w:tcPr>
            <w:tcW w:type="dxa" w:w="11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99.867%</w:t>
            </w:r>
          </w:p>
        </w:tc>
        <w:tc>
          <w:tcPr>
            <w:tcW w:type="dxa" w:w="118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95.876%</w:t>
            </w:r>
          </w:p>
        </w:tc>
        <w:tc>
          <w:tcPr>
            <w:tcW w:type="dxa" w:w="10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97.831%</w:t>
            </w:r>
          </w:p>
        </w:tc>
        <w:tc>
          <w:tcPr>
            <w:tcW w:type="dxa" w:w="145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0.0037%</w:t>
            </w:r>
          </w:p>
        </w:tc>
        <w:tc>
          <w:tcPr>
            <w:tcW w:type="dxa" w:w="137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0.572%</w:t>
            </w:r>
          </w:p>
        </w:tc>
        <w:tc>
          <w:tcPr>
            <w:tcW w:type="dxa" w:w="13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3.544</w:t>
            </w:r>
          </w:p>
        </w:tc>
      </w:tr>
      <w:tr>
        <w:tc>
          <w:tcPr>
            <w:tcW w:type="dxa" w:w="19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Full Sentinel hybrid</w:t>
            </w:r>
          </w:p>
        </w:tc>
        <w:tc>
          <w:tcPr>
            <w:tcW w:type="dxa" w:w="11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99.929%</w:t>
            </w:r>
          </w:p>
        </w:tc>
        <w:tc>
          <w:tcPr>
            <w:tcW w:type="dxa" w:w="118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16.846%</w:t>
            </w:r>
          </w:p>
        </w:tc>
        <w:tc>
          <w:tcPr>
            <w:tcW w:type="dxa" w:w="10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28.831%</w:t>
            </w:r>
          </w:p>
        </w:tc>
        <w:tc>
          <w:tcPr>
            <w:tcW w:type="dxa" w:w="145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87.437%</w:t>
            </w:r>
          </w:p>
        </w:tc>
        <w:tc>
          <w:tcPr>
            <w:tcW w:type="dxa" w:w="137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2.802%</w:t>
            </w:r>
          </w:p>
        </w:tc>
        <w:tc>
          <w:tcPr>
            <w:tcW w:type="dxa" w:w="132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19.742</w:t>
            </w:r>
          </w:p>
        </w:tc>
      </w:tr>
    </w:tbl>
    <w:p>
      <w:pPr>
        <w:spacing w:after="40"/>
      </w:pPr>
    </w:p>
    <w:p>
      <w:pPr>
        <w:spacing w:after="160"/>
      </w:pPr>
      <w:r>
        <w:rPr>
          <w:rFonts w:ascii="Calibri" w:hAnsi="Calibri"/>
          <w:b/>
          <w:color w:val="19150F"/>
          <w:sz w:val="19"/>
        </w:rPr>
        <w:t xml:space="preserve">Evidence boundary. </w:t>
      </w:r>
      <w:r>
        <w:rPr>
          <w:rFonts w:ascii="Calibri" w:hAnsi="Calibri"/>
          <w:i/>
          <w:color w:val="6B5F50"/>
          <w:sz w:val="19"/>
        </w:rPr>
        <w:t>These are verified recovered diagnostics on a synthetic development corpus. They support architecture comparison; they are not official Stage 70, production, real-cardholder, Mastercard-data, or external-validation results.</w:t>
      </w:r>
    </w:p>
    <w:p>
      <w:pPr>
        <w:pStyle w:val="Heading1"/>
      </w:pPr>
      <w:r>
        <w:t>5. What the experiments changed</w:t>
      </w:r>
    </w:p>
    <w:p>
      <w:pPr>
        <w:pStyle w:val="ListNumber"/>
      </w:pPr>
      <w:r>
        <w:t>Rules were too blunt: fraud coverage came with unacceptable benign friction.</w:t>
      </w:r>
    </w:p>
    <w:p>
      <w:pPr>
        <w:pStyle w:val="ListNumber"/>
      </w:pPr>
      <w:r>
        <w:t>The calibrated non-graph ensemble established a strong real-time baseline.</w:t>
      </w:r>
    </w:p>
    <w:p>
      <w:pPr>
        <w:pStyle w:val="ListNumber"/>
      </w:pPr>
      <w:r>
        <w:t>An early perfect result exposed future graph leakage; the path was rejected and causal append/equal-time isolation tests were added.</w:t>
      </w:r>
    </w:p>
    <w:p>
      <w:pPr>
        <w:pStyle w:val="ListNumber"/>
      </w:pPr>
      <w:r>
        <w:t>Constructed fraud rows were replaced by real campaign, simulator, rail, event, and ledger execution.</w:t>
      </w:r>
    </w:p>
    <w:p>
      <w:pPr>
        <w:pStyle w:val="ListNumber"/>
      </w:pPr>
      <w:r>
        <w:t>Causal graph summaries produced the best precision/recall/friction balance without placing a heavyweight GNN in the synchronous path.</w:t>
      </w:r>
    </w:p>
    <w:p>
      <w:r>
        <w:t>The graph arm improves the already strong non-graph ensemble by 0.122 percentage points of recall, 1.120 points of precision, 0.645 points of F1, and 0.230 points lower challenge rate for roughly 0.162 ms of additional p95 latency. The full hybrid has the highest recall but fails the friction gates, which is why it is not called the champion.</w:t>
      </w:r>
    </w:p>
    <w:p>
      <w:r>
        <w:br w:type="page"/>
      </w:r>
    </w:p>
    <w:p>
      <w:pPr>
        <w:keepNext/>
        <w:jc w:val="center"/>
      </w:pPr>
      <w:r>
        <w:drawing>
          <wp:inline xmlns:a="http://schemas.openxmlformats.org/drawingml/2006/main" xmlns:pic="http://schemas.openxmlformats.org/drawingml/2006/picture">
            <wp:extent cx="4754880" cy="6607302"/>
            <wp:docPr id="4" name="Picture 4" descr="Investigation route: linked campaign context replaces disconnected transaction alerts." title="Investigation route: linked campaign context replaces disconnected transaction alerts."/>
            <wp:cNvGraphicFramePr>
              <a:graphicFrameLocks noChangeAspect="1"/>
            </wp:cNvGraphicFramePr>
            <a:graphic>
              <a:graphicData uri="http://schemas.openxmlformats.org/drawingml/2006/picture">
                <pic:pic>
                  <pic:nvPicPr>
                    <pic:cNvPr id="0" name="apar-console-investigation-desktop.png"/>
                    <pic:cNvPicPr/>
                  </pic:nvPicPr>
                  <pic:blipFill>
                    <a:blip r:embed="rId14"/>
                    <a:stretch>
                      <a:fillRect/>
                    </a:stretch>
                  </pic:blipFill>
                  <pic:spPr>
                    <a:xfrm>
                      <a:off x="0" y="0"/>
                      <a:ext cx="4754880" cy="6607302"/>
                    </a:xfrm>
                    <a:prstGeom prst="rect"/>
                  </pic:spPr>
                </pic:pic>
              </a:graphicData>
            </a:graphic>
          </wp:inline>
        </w:drawing>
      </w:r>
    </w:p>
    <w:p>
      <w:pPr>
        <w:spacing w:before="40" w:after="200"/>
        <w:jc w:val="center"/>
      </w:pPr>
      <w:r>
        <w:rPr>
          <w:rFonts w:ascii="Calibri" w:hAnsi="Calibri"/>
          <w:i/>
          <w:color w:val="6B5F50"/>
          <w:sz w:val="17"/>
        </w:rPr>
        <w:t>Investigation route: linked campaign context replaces disconnected transaction alerts.</w:t>
      </w:r>
    </w:p>
    <w:p>
      <w:pPr>
        <w:pStyle w:val="Heading1"/>
        <w:pageBreakBefore/>
      </w:pPr>
      <w:r>
        <w:t>6. Verifiable intent for agentic payments</w:t>
      </w:r>
    </w:p>
    <w:p>
      <w:r>
        <w:t>Agentic commerce introduces an authorization-integrity problem that a fraud score alone cannot solve. Before statistical risk is considered, APAR's deterministic TrustVerifier checks the authority chain for the exact purchase.</w:t>
      </w:r>
    </w:p>
    <w:p>
      <w:pPr>
        <w:pStyle w:val="ListBullet"/>
      </w:pPr>
      <w:r>
        <w:t>Registered agent identity and signing key.</w:t>
      </w:r>
    </w:p>
    <w:p>
      <w:pPr>
        <w:pStyle w:val="ListBullet"/>
      </w:pPr>
      <w:r>
        <w:t>User mandate, permitted scope, amount, currency, merchant, and category constraints.</w:t>
      </w:r>
    </w:p>
    <w:p>
      <w:pPr>
        <w:pStyle w:val="ListBullet"/>
      </w:pPr>
      <w:r>
        <w:t>Merchant and cart binding plus payment-intent hash.</w:t>
      </w:r>
    </w:p>
    <w:p>
      <w:pPr>
        <w:pStyle w:val="ListBullet"/>
      </w:pPr>
      <w:r>
        <w:t>Token scope, issued-at time, expiry, nonce, and replay state.</w:t>
      </w:r>
    </w:p>
    <w:p>
      <w:pPr>
        <w:pStyle w:val="ListBullet"/>
      </w:pPr>
      <w:r>
        <w:t>Execution receipt and outcome binding.</w:t>
      </w:r>
    </w:p>
    <w:tbl>
      <w:tblPr>
        <w:tblW w:type="dxa" w:w="9360"/>
        <w:jc w:val="left"/>
        <w:tblLayout w:type="fixed"/>
        <w:tblLook w:firstColumn="1" w:firstRow="1" w:lastColumn="0" w:lastRow="0" w:noHBand="0" w:noVBand="1" w:val="04A0"/>
        <w:tblInd w:type="dxa" w:w="220"/>
      </w:tblPr>
      <w:tblGrid>
        <w:gridCol w:w="9360"/>
      </w:tblGrid>
      <w:tr>
        <w:tc>
          <w:tcPr>
            <w:tcW w:type="dxa" w:w="9360"/>
            <w:shd w:fill="F6E5D8"/>
            <w:tcBorders>
              <w:top w:val="single" w:sz="10" w:color="E8793D"/>
              <w:left w:val="single" w:sz="10" w:color="E8793D"/>
              <w:bottom w:val="single" w:sz="10" w:color="E8793D"/>
              <w:right w:val="single" w:sz="10" w:color="E8793D"/>
              <w:insideH w:val="single" w:sz="10" w:color="E8793D"/>
              <w:insideV w:val="single" w:sz="10" w:color="E8793D"/>
            </w:tcBorders>
            <w:tcMar>
              <w:top w:w="180" w:type="dxa"/>
              <w:bottom w:w="180" w:type="dxa"/>
              <w:start w:w="220" w:type="dxa"/>
              <w:end w:w="220" w:type="dxa"/>
            </w:tcMar>
          </w:tcPr>
          <w:p>
            <w:pPr>
              <w:spacing w:after="80"/>
            </w:pPr>
            <w:r>
              <w:rPr>
                <w:rFonts w:ascii="Calibri" w:hAnsi="Calibri"/>
                <w:b/>
                <w:color w:val="19150F"/>
                <w:sz w:val="22"/>
              </w:rPr>
              <w:t>Deterministic checks precede ML risk</w:t>
            </w:r>
          </w:p>
          <w:p>
            <w:pPr>
              <w:spacing w:after="0"/>
            </w:pPr>
            <w:r>
              <w:rPr>
                <w:rFonts w:ascii="Calibri" w:hAnsi="Calibri"/>
                <w:color w:val="3F382E"/>
                <w:sz w:val="21"/>
              </w:rPr>
              <w:t>Invalid signatures, expired mandates, scope mismatches, cart mutations, merchant substitution, and replay fail closed before the model can approve a payment.</w:t>
            </w:r>
          </w:p>
        </w:tc>
      </w:tr>
    </w:tbl>
    <w:p>
      <w:pPr>
        <w:spacing w:after="40"/>
      </w:pPr>
    </w:p>
    <w:p>
      <w:pPr>
        <w:pStyle w:val="Heading1"/>
      </w:pPr>
      <w:r>
        <w:t>7. Evidence governance and assurance</w:t>
      </w:r>
    </w:p>
    <w:p>
      <w:r>
        <w:t>Models, scenarios, controls, results, and replay traces are content-addressed. Independent verifiers recompute hashes and evidence semantics; tampering, label leakage, future information, and broken rail or ledger provenance fail closed. Rejected experiments remain visible, and no model can promote itself.</w:t>
      </w:r>
    </w:p>
    <w:p>
      <w:pPr>
        <w:pStyle w:val="ListBullet"/>
      </w:pPr>
      <w:r>
        <w:t>Label-shuffle and single-class controls.</w:t>
      </w:r>
    </w:p>
    <w:p>
      <w:pPr>
        <w:pStyle w:val="ListBullet"/>
      </w:pPr>
      <w:r>
        <w:t>Identity-renaming invariance and feature/label leakage tests.</w:t>
      </w:r>
    </w:p>
    <w:p>
      <w:pPr>
        <w:pStyle w:val="ListBullet"/>
      </w:pPr>
      <w:r>
        <w:t>Future-append and equal-time isolation tests.</w:t>
      </w:r>
    </w:p>
    <w:p>
      <w:pPr>
        <w:pStyle w:val="ListBullet"/>
      </w:pPr>
      <w:r>
        <w:t>Rail, lifecycle, ledger, trust, and evidence-tamper tests.</w:t>
      </w:r>
    </w:p>
    <w:p>
      <w:pPr>
        <w:pStyle w:val="ListBullet"/>
      </w:pPr>
      <w:r>
        <w:t>Hash-bound portable bundle and exact probability/action replay.</w:t>
      </w:r>
    </w:p>
    <w:p>
      <w:pPr>
        <w:pStyle w:val="ListBullet"/>
      </w:pPr>
      <w:r>
        <w:t>Explicit human promotion decision with rollback and evidence boundaries.</w:t>
      </w:r>
    </w:p>
    <w:p>
      <w:r>
        <w:br w:type="page"/>
      </w:r>
    </w:p>
    <w:p>
      <w:pPr>
        <w:keepNext/>
        <w:jc w:val="center"/>
      </w:pPr>
      <w:r>
        <w:drawing>
          <wp:inline xmlns:a="http://schemas.openxmlformats.org/drawingml/2006/main" xmlns:pic="http://schemas.openxmlformats.org/drawingml/2006/picture">
            <wp:extent cx="2697480" cy="7479150"/>
            <wp:docPr id="5" name="Picture 5" descr="Assurance route: compact evidence inspection, trust checks, and human promotion boundary." title="Assurance route: compact evidence inspection, trust checks, and human promotion boundary."/>
            <wp:cNvGraphicFramePr>
              <a:graphicFrameLocks noChangeAspect="1"/>
            </wp:cNvGraphicFramePr>
            <a:graphic>
              <a:graphicData uri="http://schemas.openxmlformats.org/drawingml/2006/picture">
                <pic:pic>
                  <pic:nvPicPr>
                    <pic:cNvPr id="0" name="apar-console-assurance-focus.png"/>
                    <pic:cNvPicPr/>
                  </pic:nvPicPr>
                  <pic:blipFill>
                    <a:blip r:embed="rId15"/>
                    <a:stretch>
                      <a:fillRect/>
                    </a:stretch>
                  </pic:blipFill>
                  <pic:spPr>
                    <a:xfrm>
                      <a:off x="0" y="0"/>
                      <a:ext cx="2697480" cy="7479150"/>
                    </a:xfrm>
                    <a:prstGeom prst="rect"/>
                  </pic:spPr>
                </pic:pic>
              </a:graphicData>
            </a:graphic>
          </wp:inline>
        </w:drawing>
      </w:r>
    </w:p>
    <w:p>
      <w:pPr>
        <w:spacing w:before="40" w:after="200"/>
        <w:jc w:val="center"/>
      </w:pPr>
      <w:r>
        <w:rPr>
          <w:rFonts w:ascii="Calibri" w:hAnsi="Calibri"/>
          <w:i/>
          <w:color w:val="6B5F50"/>
          <w:sz w:val="17"/>
        </w:rPr>
        <w:t>Assurance route: compact evidence inspection, trust checks, and human promotion boundary.</w:t>
      </w:r>
    </w:p>
    <w:p>
      <w:pPr>
        <w:pStyle w:val="Heading1"/>
        <w:pageBreakBefore/>
      </w:pPr>
      <w:r>
        <w:t>8. Working web prototype</w:t>
      </w:r>
    </w:p>
    <w:p>
      <w:r>
        <w:t>The public six-route console demonstrates the complete loop: threat framing, scenario construction, synchronized replay, connected investigation, defense comparison, and assurance evidence. The hosted build uses a committed, hash-bound trace so the walkthrough remains accessible without a Python service.</w:t>
      </w:r>
    </w:p>
    <w:p>
      <w:r>
        <w:t>The repository also contains the real portable scorer. The local console loads the packaged graph ensemble, scores 12 curated cases, verifies probabilities and actions exactly, and exposes the results through the same interface.</w:t>
      </w:r>
    </w:p>
    <w:p>
      <w:pPr>
        <w:spacing w:after="80"/>
      </w:pPr>
      <w:r>
        <w:rPr>
          <w:rFonts w:ascii="Calibri" w:hAnsi="Calibri"/>
          <w:b/>
          <w:color w:val="19150F"/>
          <w:sz w:val="21"/>
        </w:rPr>
        <w:t xml:space="preserve">Prototype: </w:t>
      </w:r>
      <w:hyperlink r:id="rId16">
        <w:r>
          <w:rPr>
            <w:color w:val="E8793D"/>
            <w:u w:val="single"/>
          </w:rPr>
          <w:t>https://web-six-tau-bxhm7rwrzu.vercel.app/overview</w:t>
        </w:r>
      </w:hyperlink>
    </w:p>
    <w:p>
      <w:pPr>
        <w:spacing w:after="80"/>
      </w:pPr>
      <w:r>
        <w:rPr>
          <w:rFonts w:ascii="Calibri" w:hAnsi="Calibri"/>
          <w:b/>
          <w:color w:val="19150F"/>
          <w:sz w:val="21"/>
        </w:rPr>
        <w:t xml:space="preserve">Repository: </w:t>
      </w:r>
      <w:hyperlink r:id="rId17">
        <w:r>
          <w:rPr>
            <w:color w:val="E8793D"/>
            <w:u w:val="single"/>
          </w:rPr>
          <w:t>https://github.com/Dljdd/LedgerPeLabs</w:t>
        </w:r>
      </w:hyperlink>
    </w:p>
    <w:p>
      <w:pPr>
        <w:spacing w:after="80"/>
      </w:pPr>
      <w:r>
        <w:rPr>
          <w:rFonts w:ascii="Calibri" w:hAnsi="Calibri"/>
          <w:b/>
          <w:color w:val="19150F"/>
          <w:sz w:val="21"/>
        </w:rPr>
        <w:t xml:space="preserve">Demo video: </w:t>
      </w:r>
      <w:hyperlink r:id="rId18">
        <w:r>
          <w:rPr>
            <w:color w:val="E8793D"/>
            <w:u w:val="single"/>
          </w:rPr>
          <w:t>https://www.youtube.com/watch?v=A_4Pe_A7iMg</w:t>
        </w:r>
      </w:hyperlink>
    </w:p>
    <w:p>
      <w:pPr>
        <w:pStyle w:val="Heading2"/>
      </w:pPr>
      <w:r>
        <w:t>Local run</w:t>
      </w:r>
    </w:p>
    <w:p>
      <w:pPr>
        <w:spacing w:after="40"/>
        <w:ind w:left="360"/>
      </w:pPr>
      <w:r>
        <w:rPr>
          <w:rFonts w:ascii="Courier New" w:hAnsi="Courier New"/>
          <w:color w:val="19150F"/>
          <w:sz w:val="19"/>
        </w:rPr>
        <w:t>python3.12 -m venv .venv</w:t>
      </w:r>
    </w:p>
    <w:p>
      <w:pPr>
        <w:spacing w:after="40"/>
        <w:ind w:left="360"/>
      </w:pPr>
      <w:r>
        <w:rPr>
          <w:rFonts w:ascii="Courier New" w:hAnsi="Courier New"/>
          <w:color w:val="19150F"/>
          <w:sz w:val="19"/>
        </w:rPr>
        <w:t>.venv/bin/python -m pip install -e '.[dev]'</w:t>
      </w:r>
    </w:p>
    <w:p>
      <w:pPr>
        <w:spacing w:after="40"/>
        <w:ind w:left="360"/>
      </w:pPr>
      <w:r>
        <w:rPr>
          <w:rFonts w:ascii="Courier New" w:hAnsi="Courier New"/>
          <w:color w:val="19150F"/>
          <w:sz w:val="19"/>
        </w:rPr>
        <w:t>npm ci --prefix web</w:t>
      </w:r>
    </w:p>
    <w:p>
      <w:pPr>
        <w:spacing w:after="40"/>
        <w:ind w:left="360"/>
      </w:pPr>
      <w:r>
        <w:rPr>
          <w:rFonts w:ascii="Courier New" w:hAnsi="Courier New"/>
          <w:color w:val="19150F"/>
          <w:sz w:val="19"/>
        </w:rPr>
        <w:t>.venv/bin/python scripts/run_apar_console.py start</w:t>
      </w:r>
    </w:p>
    <w:p>
      <w:pPr>
        <w:pStyle w:val="Heading1"/>
      </w:pPr>
      <w:r>
        <w:t>9. Real-world feasibility</w:t>
      </w:r>
    </w:p>
    <w:p>
      <w:r>
        <w:t>APAR is designed as an assurance layer around existing payment-risk and fraud-operations systems, not as a replacement authorization switch. A practical adoption path keeps the model advisory until its evidence and operating impact are independently validated.</w:t>
      </w:r>
    </w:p>
    <w:tbl>
      <w:tblPr>
        <w:tblW w:type="dxa" w:w="9360"/>
        <w:jc w:val="left"/>
        <w:tblLayout w:type="fixed"/>
        <w:tblLook w:firstColumn="1" w:firstRow="1" w:lastColumn="0" w:lastRow="0" w:noHBand="0" w:noVBand="1" w:val="04A0"/>
        <w:tblInd w:type="dxa" w:w="120"/>
      </w:tblPr>
      <w:tblGrid>
        <w:gridCol w:w="1800"/>
        <w:gridCol w:w="3500"/>
        <w:gridCol w:w="4060"/>
      </w:tblGrid>
      <w:tr>
        <w:trPr>
          <w:tblHeader w:val="true"/>
        </w:trP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Stage</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Use</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19150F"/>
          </w:tcPr>
          <w:p>
            <w:pPr>
              <w:spacing w:before="0" w:after="0" w:line="259" w:lineRule="auto"/>
            </w:pPr>
            <w:r>
              <w:rPr>
                <w:rFonts w:ascii="Calibri" w:hAnsi="Calibri"/>
                <w:b/>
                <w:color w:val="F1E9DC"/>
                <w:sz w:val="18"/>
              </w:rPr>
              <w:t>Control boundary</w:t>
            </w:r>
          </w:p>
        </w:tc>
      </w:tr>
      <w:t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Offline replay</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Historical and synthetic evaluation</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No customer impact</w:t>
            </w:r>
          </w:p>
        </w:tc>
      </w:tr>
      <w:t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Shadow mode</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Live feature generation and drift measurement</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Scores are advisory only</w:t>
            </w:r>
          </w:p>
        </w:tc>
      </w:tr>
      <w:t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Assisted operations</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Human-reviewed cases and selective challenges</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Capacity and rollback limits</w:t>
            </w:r>
          </w:p>
        </w:tc>
      </w:tr>
      <w:t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Limited challenger</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Small governed traffic slice</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8F4ED"/>
          </w:tcPr>
          <w:p>
            <w:pPr>
              <w:spacing w:before="0" w:after="0" w:line="259" w:lineRule="auto"/>
            </w:pPr>
            <w:r>
              <w:rPr>
                <w:rFonts w:ascii="Calibri" w:hAnsi="Calibri"/>
                <w:color w:val="19150F"/>
                <w:sz w:val="18"/>
              </w:rPr>
              <w:t>Explicit owner and stop criteria</w:t>
            </w:r>
          </w:p>
        </w:tc>
      </w:tr>
      <w:tr>
        <w:tc>
          <w:tcPr>
            <w:tcW w:type="dxa" w:w="18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Governed scale</w:t>
            </w:r>
          </w:p>
        </w:tc>
        <w:tc>
          <w:tcPr>
            <w:tcW w:type="dxa" w:w="350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Continuous adversarial regression</w:t>
            </w:r>
          </w:p>
        </w:tc>
        <w:tc>
          <w:tcPr>
            <w:tcW w:type="dxa" w:w="4060"/>
            <w:tcMar>
              <w:top w:w="80" w:type="dxa"/>
              <w:bottom w:w="80" w:type="dxa"/>
              <w:start w:w="120" w:type="dxa"/>
              <w:end w:w="120" w:type="dxa"/>
            </w:tcMar>
            <w:vAlign w:val="center"/>
            <w:tcBorders>
              <w:top w:val="single" w:sz="6" w:color="D8CFC2"/>
              <w:left w:val="single" w:sz="6" w:color="D8CFC2"/>
              <w:bottom w:val="single" w:sz="6" w:color="D8CFC2"/>
              <w:right w:val="single" w:sz="6" w:color="D8CFC2"/>
              <w:insideH w:val="single" w:sz="6" w:color="D8CFC2"/>
              <w:insideV w:val="single" w:sz="6" w:color="D8CFC2"/>
            </w:tcBorders>
            <w:shd w:fill="FFFFFF"/>
          </w:tcPr>
          <w:p>
            <w:pPr>
              <w:spacing w:before="0" w:after="0" w:line="259" w:lineRule="auto"/>
            </w:pPr>
            <w:r>
              <w:rPr>
                <w:rFonts w:ascii="Calibri" w:hAnsi="Calibri"/>
                <w:color w:val="19150F"/>
                <w:sz w:val="18"/>
              </w:rPr>
              <w:t>Independent validation and human promotion</w:t>
            </w:r>
          </w:p>
        </w:tc>
      </w:tr>
    </w:tbl>
    <w:p>
      <w:pPr>
        <w:spacing w:after="40"/>
      </w:pPr>
    </w:p>
    <w:p>
      <w:r>
        <w:t>The synchronous path contains schema checks, agentic integrity, feature lookup, rules, CPU scoring, and reason codes. Graph expansion, campaign discovery, case formation, drift analysis, and retraining stay asynchronous. This preserves a credible path to low-latency live payment integration.</w:t>
      </w:r>
    </w:p>
    <w:p>
      <w:pPr>
        <w:pStyle w:val="Heading1"/>
      </w:pPr>
      <w:r>
        <w:t>10. Reproducibility, safety, and limitations</w:t>
      </w:r>
    </w:p>
    <w:p>
      <w:pPr>
        <w:pStyle w:val="ListBullet"/>
      </w:pPr>
      <w:r>
        <w:t>Synthetic data only; no real cardholder data is included.</w:t>
      </w:r>
    </w:p>
    <w:p>
      <w:pPr>
        <w:pStyle w:val="ListBullet"/>
      </w:pPr>
      <w:r>
        <w:t>The 12 visible cases are curated replay demonstrations, not a population estimate.</w:t>
      </w:r>
    </w:p>
    <w:p>
      <w:pPr>
        <w:pStyle w:val="ListBullet"/>
      </w:pPr>
      <w:r>
        <w:t>Recovered four-arm results are verified diagnostics, not official Stage 70 capacity evidence.</w:t>
      </w:r>
    </w:p>
    <w:p>
      <w:pPr>
        <w:pStyle w:val="ListBullet"/>
      </w:pPr>
      <w:r>
        <w:t>The official chain is incomplete at Stage 70; APAR makes no production-readiness claim.</w:t>
      </w:r>
    </w:p>
    <w:p>
      <w:pPr>
        <w:pStyle w:val="ListBullet"/>
      </w:pPr>
      <w:r>
        <w:t>The prototype does not export operational attack instructions or autonomously deploy controls.</w:t>
      </w:r>
    </w:p>
    <w:p>
      <w:pPr>
        <w:pStyle w:val="ListBullet"/>
      </w:pPr>
      <w:r>
        <w:t>Production adoption would require independent data validation, privacy review, monitoring, and model-risk approval.</w:t>
      </w:r>
    </w:p>
    <w:p>
      <w:r>
        <w:t>This boundary is intentional. A payment-assurance system should explain both what its evidence proves and what it does not. APAR's central contribution is a closed, testable, and governable process for adapting defenses as attackers adapt—without granting the model authority over deployment.</w:t>
      </w:r>
    </w:p>
    <w:p>
      <w:pPr>
        <w:pStyle w:val="Heading1"/>
      </w:pPr>
      <w:r>
        <w:t>Submission links</w:t>
      </w:r>
    </w:p>
    <w:p>
      <w:pPr>
        <w:spacing w:after="80"/>
      </w:pPr>
      <w:r>
        <w:rPr>
          <w:rFonts w:ascii="Calibri" w:hAnsi="Calibri"/>
          <w:b/>
          <w:color w:val="19150F"/>
          <w:sz w:val="21"/>
        </w:rPr>
        <w:t xml:space="preserve">Working prototype: </w:t>
      </w:r>
      <w:hyperlink r:id="rId16">
        <w:r>
          <w:rPr>
            <w:color w:val="E8793D"/>
            <w:u w:val="single"/>
          </w:rPr>
          <w:t>https://web-six-tau-bxhm7rwrzu.vercel.app/overview</w:t>
        </w:r>
      </w:hyperlink>
    </w:p>
    <w:p>
      <w:pPr>
        <w:spacing w:after="80"/>
      </w:pPr>
      <w:r>
        <w:rPr>
          <w:rFonts w:ascii="Calibri" w:hAnsi="Calibri"/>
          <w:b/>
          <w:color w:val="19150F"/>
          <w:sz w:val="21"/>
        </w:rPr>
        <w:t xml:space="preserve">Public source repository: </w:t>
      </w:r>
      <w:hyperlink r:id="rId17">
        <w:r>
          <w:rPr>
            <w:color w:val="E8793D"/>
            <w:u w:val="single"/>
          </w:rPr>
          <w:t>https://github.com/Dljdd/LedgerPeLabs</w:t>
        </w:r>
      </w:hyperlink>
    </w:p>
    <w:p>
      <w:pPr>
        <w:spacing w:after="80"/>
      </w:pPr>
      <w:r>
        <w:rPr>
          <w:rFonts w:ascii="Calibri" w:hAnsi="Calibri"/>
          <w:b/>
          <w:color w:val="19150F"/>
          <w:sz w:val="21"/>
        </w:rPr>
        <w:t xml:space="preserve">Competition deck: </w:t>
      </w:r>
      <w:hyperlink r:id="rId19">
        <w:r>
          <w:rPr>
            <w:color w:val="E8793D"/>
            <w:u w:val="single"/>
          </w:rPr>
          <w:t>https://github.com/Dljdd/LedgerPeLabs/blob/codex/apar-final-submission/docs/submission/APAR_COMPETITION_DECK.pdf</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type="dxa" w:w="0"/>
    </w:tblPr>
    <w:tblGrid>
      <w:gridCol w:w="7200"/>
      <w:gridCol w:w="2160"/>
    </w:tblGrid>
    <w:tr>
      <w:tc>
        <w:tcPr>
          <w:tcW w:type="dxa" w:w="7200"/>
          <w:tcMar>
            <w:top w:w="80" w:type="dxa"/>
            <w:bottom w:w="80" w:type="dxa"/>
            <w:start w:w="12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rFonts w:ascii="Calibri" w:hAnsi="Calibri"/>
              <w:color w:val="6B5F50"/>
              <w:sz w:val="17"/>
            </w:rPr>
            <w:t>LedgerPeLabs · Solution walkthrough</w:t>
          </w:r>
        </w:p>
      </w:tc>
      <w:tc>
        <w:tcPr>
          <w:tcW w:type="dxa" w:w="2160"/>
          <w:tcMar>
            <w:top w:w="80" w:type="dxa"/>
            <w:bottom w:w="80" w:type="dxa"/>
            <w:start w:w="12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pPr>
            <w:spacing w:after="0"/>
            <w:jc w:val="right"/>
          </w:pPr>
          <w:r>
            <w:rPr>
              <w:rFonts w:ascii="Calibri" w:hAnsi="Calibri"/>
              <w:color w:val="6B5F50"/>
              <w:sz w:val="17"/>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Georgia" w:hAnsi="Georgia"/>
        <w:b/>
        <w:color w:val="19150F"/>
        <w:sz w:val="18"/>
      </w:rPr>
      <w:t>APAR</w:t>
    </w:r>
    <w:r>
      <w:rPr>
        <w:rFonts w:ascii="Calibri" w:hAnsi="Calibri"/>
        <w:b/>
        <w:color w:val="6B5F50"/>
        <w:sz w:val="17"/>
      </w:rPr>
      <w:t xml:space="preserve">   |   MASTERCARD INNOVATION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50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150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879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F38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eb-six-tau-bxhm7rwrzu.vercel.app/overview" TargetMode="External"/><Relationship Id="rId17" Type="http://schemas.openxmlformats.org/officeDocument/2006/relationships/hyperlink" Target="https://github.com/Dljdd/LedgerPeLabs" TargetMode="External"/><Relationship Id="rId18" Type="http://schemas.openxmlformats.org/officeDocument/2006/relationships/hyperlink" Target="https://www.youtube.com/watch?v=A_4Pe_A7iMg" TargetMode="External"/><Relationship Id="rId19" Type="http://schemas.openxmlformats.org/officeDocument/2006/relationships/hyperlink" Target="https://github.com/Dljdd/LedgerPeLabs/blob/codex/apar-final-submission/docs/submission/APAR_COMPETITION_DEC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 - Adaptive Payment Assurance Range</dc:title>
  <dc:subject>Mastercard Innovation Challenge 2026 solution walkthrough</dc:subject>
  <dc:creator>Dylan Moraes</dc:creator>
  <cp:keywords>payment fraud, red teaming, simulation, graph features, agentic payments</cp:keywords>
  <dc:description>generated by python-docx</dc:description>
  <cp:lastModifiedBy/>
  <cp:revision>1</cp:revision>
  <dcterms:created xsi:type="dcterms:W3CDTF">2013-12-23T23:15:00Z</dcterms:created>
  <dcterms:modified xsi:type="dcterms:W3CDTF">2013-12-23T23:15:00Z</dcterms:modified>
  <cp:category/>
</cp:coreProperties>
</file>