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6287" w14:textId="22A3C9BC" w:rsidR="6AF4DF48" w:rsidRDefault="007522D6" w:rsidP="00AB0362">
      <w:pPr>
        <w:pStyle w:val="Heading1"/>
      </w:pPr>
      <w:r w:rsidRPr="00401136">
        <w:t xml:space="preserve">DAD 220 </w:t>
      </w:r>
      <w:r w:rsidR="21DD2F33" w:rsidRPr="00401136">
        <w:t xml:space="preserve">Project </w:t>
      </w:r>
      <w:r w:rsidR="3532E145" w:rsidRPr="00401136">
        <w:t>Two</w:t>
      </w:r>
      <w:r w:rsidR="049A5008" w:rsidRPr="00401136">
        <w:t xml:space="preserve"> </w:t>
      </w:r>
      <w:r w:rsidR="00AB0362">
        <w:t>Loranger</w:t>
      </w:r>
    </w:p>
    <w:p w14:paraId="007EEE4B" w14:textId="2088612E" w:rsidR="00964224" w:rsidRDefault="00964224" w:rsidP="00964224"/>
    <w:p w14:paraId="2B04E274" w14:textId="695DDB11" w:rsidR="00964224" w:rsidRPr="00964224" w:rsidRDefault="00964224" w:rsidP="00964224">
      <w:r>
        <w:t xml:space="preserve">Summary: This report summarizes the managerial request for a data review of sales and RMA information related to the high RMA occurrences within the </w:t>
      </w:r>
      <w:proofErr w:type="spellStart"/>
      <w:r>
        <w:t>Quantrigration</w:t>
      </w:r>
      <w:proofErr w:type="spellEnd"/>
      <w:r>
        <w:t xml:space="preserve"> product portfolio.</w:t>
      </w:r>
    </w:p>
    <w:p w14:paraId="5510E79E" w14:textId="77777777" w:rsidR="00AB0362" w:rsidRDefault="00AB0362" w:rsidP="00AB0362"/>
    <w:p w14:paraId="2550FADC" w14:textId="1E8EAE11" w:rsidR="00AB0362" w:rsidRDefault="00964224" w:rsidP="00AB0362">
      <w:pPr>
        <w:suppressAutoHyphens/>
        <w:spacing w:after="0" w:line="240" w:lineRule="auto"/>
      </w:pPr>
      <w:r>
        <w:t xml:space="preserve">Analysis </w:t>
      </w:r>
      <w:r w:rsidR="00AB0362">
        <w:t>Note:</w:t>
      </w:r>
      <w:r>
        <w:t xml:space="preserve"> </w:t>
      </w:r>
      <w:r w:rsidR="00AB0362">
        <w:t xml:space="preserve">The data source used in this summary is data available in the </w:t>
      </w:r>
      <w:r>
        <w:t>‘</w:t>
      </w:r>
      <w:proofErr w:type="spellStart"/>
      <w:r w:rsidR="00AB0362">
        <w:t>QuantigrationUpdates</w:t>
      </w:r>
      <w:proofErr w:type="spellEnd"/>
      <w:r>
        <w:t>’</w:t>
      </w:r>
      <w:r w:rsidR="00AB0362">
        <w:t xml:space="preserve"> database effective 2024-OCT-14 at 19:32 EST.  Database data is frozen as a localized copy to ensure consistent data throughout the reporting as follows.</w:t>
      </w:r>
    </w:p>
    <w:p w14:paraId="2EB48DA9" w14:textId="77777777" w:rsidR="00AB0362" w:rsidRDefault="00AB0362" w:rsidP="00AB0362">
      <w:pPr>
        <w:pStyle w:val="ListParagraph"/>
        <w:numPr>
          <w:ilvl w:val="1"/>
          <w:numId w:val="1"/>
        </w:numPr>
        <w:suppressAutoHyphens/>
        <w:spacing w:after="0" w:line="240" w:lineRule="auto"/>
      </w:pPr>
      <w:r>
        <w:t>There are 37,998 orders in the Orders table</w:t>
      </w:r>
    </w:p>
    <w:p w14:paraId="5FAB47A9" w14:textId="77777777" w:rsidR="00AB0362" w:rsidRDefault="00AB0362" w:rsidP="00AB0362">
      <w:pPr>
        <w:pStyle w:val="ListParagraph"/>
        <w:numPr>
          <w:ilvl w:val="1"/>
          <w:numId w:val="1"/>
        </w:numPr>
        <w:suppressAutoHyphens/>
        <w:spacing w:after="0" w:line="240" w:lineRule="auto"/>
      </w:pPr>
      <w:r>
        <w:t>There are 37,998 entries in the Collaborators table</w:t>
      </w:r>
    </w:p>
    <w:p w14:paraId="48E9123C" w14:textId="25A4DCCE" w:rsidR="00AB0362" w:rsidRDefault="00AB0362" w:rsidP="00AB0362">
      <w:pPr>
        <w:pStyle w:val="ListParagraph"/>
        <w:numPr>
          <w:ilvl w:val="1"/>
          <w:numId w:val="1"/>
        </w:numPr>
        <w:suppressAutoHyphens/>
        <w:spacing w:after="0" w:line="240" w:lineRule="auto"/>
      </w:pPr>
      <w:r>
        <w:t>There are 37,556 entries in the RMA table</w:t>
      </w:r>
    </w:p>
    <w:p w14:paraId="306D5A98" w14:textId="77777777" w:rsidR="00AB0362" w:rsidRPr="00401136" w:rsidRDefault="00AB0362" w:rsidP="00AB0362">
      <w:pPr>
        <w:suppressAutoHyphens/>
        <w:spacing w:after="0" w:line="240" w:lineRule="auto"/>
      </w:pPr>
    </w:p>
    <w:p w14:paraId="399B47B8" w14:textId="7DBC4B47" w:rsidR="00AB0362" w:rsidRPr="00964224" w:rsidRDefault="00AB0362" w:rsidP="00AB0362">
      <w:pPr>
        <w:rPr>
          <w:b/>
          <w:bCs/>
        </w:rPr>
      </w:pPr>
      <w:r w:rsidRPr="00964224">
        <w:rPr>
          <w:b/>
          <w:bCs/>
        </w:rPr>
        <w:t>Request: Analyze the sales and RMA data to determine the sales rate vs return rates by product.</w:t>
      </w:r>
    </w:p>
    <w:p w14:paraId="28843679" w14:textId="5A82DF93" w:rsidR="6AF4DF48" w:rsidRDefault="00AB0362" w:rsidP="00AB0362">
      <w:pPr>
        <w:suppressAutoHyphens/>
        <w:spacing w:after="0" w:line="240" w:lineRule="auto"/>
      </w:pPr>
      <w:r>
        <w:t xml:space="preserve">Results: </w:t>
      </w:r>
      <w:r w:rsidR="009B54E8">
        <w:t xml:space="preserve">Overall sales by SKU in the data set are shown here on the left and overall RMA by SKU on the right in the following summary.  It can be </w:t>
      </w:r>
      <w:r w:rsidR="00964224">
        <w:t xml:space="preserve">observationally </w:t>
      </w:r>
      <w:r w:rsidR="009B54E8">
        <w:t xml:space="preserve">observed </w:t>
      </w:r>
      <w:r w:rsidR="00964224">
        <w:t xml:space="preserve">in the table below </w:t>
      </w:r>
      <w:r w:rsidR="009B54E8">
        <w:t xml:space="preserve">that statistically almost every </w:t>
      </w:r>
      <w:r>
        <w:t>sale</w:t>
      </w:r>
      <w:r w:rsidR="009B54E8">
        <w:t xml:space="preserve"> entered has a correlating RMA associated with it.</w:t>
      </w:r>
      <w:r w:rsidR="00964224">
        <w:t xml:space="preserve">  It is probable that some sales have had more that one RMA for a single product, but overall sales vs RMA counts are virtually 1:1 ratio.</w:t>
      </w:r>
    </w:p>
    <w:p w14:paraId="055BC5E9" w14:textId="2CC423F5" w:rsidR="009B54E8" w:rsidRDefault="009B54E8" w:rsidP="009B54E8">
      <w:pPr>
        <w:suppressAutoHyphens/>
        <w:spacing w:after="0" w:line="240" w:lineRule="auto"/>
        <w:ind w:left="720"/>
      </w:pPr>
    </w:p>
    <w:p w14:paraId="7BA43D33" w14:textId="6C12D798" w:rsidR="009B54E8" w:rsidRDefault="009B54E8" w:rsidP="009B54E8">
      <w:pPr>
        <w:suppressAutoHyphens/>
        <w:spacing w:after="0" w:line="240" w:lineRule="auto"/>
        <w:ind w:left="720"/>
      </w:pPr>
      <w:r w:rsidRPr="009B54E8">
        <w:drawing>
          <wp:inline distT="0" distB="0" distL="0" distR="0" wp14:anchorId="61168AC5" wp14:editId="38D6A226">
            <wp:extent cx="2709208" cy="1770078"/>
            <wp:effectExtent l="0" t="0" r="0" b="1905"/>
            <wp:docPr id="8" name="Picture 7">
              <a:extLst xmlns:a="http://schemas.openxmlformats.org/drawingml/2006/main">
                <a:ext uri="{FF2B5EF4-FFF2-40B4-BE49-F238E27FC236}">
                  <a16:creationId xmlns:a16="http://schemas.microsoft.com/office/drawing/2014/main" id="{CF1BC257-0613-429D-9D12-8DF1E0C97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F1BC257-0613-429D-9D12-8DF1E0C9713B}"/>
                        </a:ext>
                      </a:extLst>
                    </pic:cNvPr>
                    <pic:cNvPicPr>
                      <a:picLocks noChangeAspect="1"/>
                    </pic:cNvPicPr>
                  </pic:nvPicPr>
                  <pic:blipFill rotWithShape="1">
                    <a:blip r:embed="rId11"/>
                    <a:srcRect l="1" t="1520" r="1902" b="2657"/>
                    <a:stretch/>
                  </pic:blipFill>
                  <pic:spPr>
                    <a:xfrm>
                      <a:off x="0" y="0"/>
                      <a:ext cx="2709208" cy="1770078"/>
                    </a:xfrm>
                    <a:prstGeom prst="rect">
                      <a:avLst/>
                    </a:prstGeom>
                  </pic:spPr>
                </pic:pic>
              </a:graphicData>
            </a:graphic>
          </wp:inline>
        </w:drawing>
      </w:r>
    </w:p>
    <w:p w14:paraId="60F5E437" w14:textId="54410A9D" w:rsidR="00D26B36" w:rsidRDefault="00D26B36" w:rsidP="009B54E8">
      <w:pPr>
        <w:suppressAutoHyphens/>
        <w:spacing w:after="0" w:line="240" w:lineRule="auto"/>
        <w:ind w:left="720"/>
      </w:pPr>
    </w:p>
    <w:p w14:paraId="6326B606" w14:textId="77777777" w:rsidR="00AB0362" w:rsidRPr="00964224" w:rsidRDefault="00AB0362" w:rsidP="00AB0362">
      <w:pPr>
        <w:suppressAutoHyphens/>
        <w:spacing w:after="0" w:line="240" w:lineRule="auto"/>
        <w:rPr>
          <w:b/>
          <w:bCs/>
        </w:rPr>
      </w:pPr>
      <w:r w:rsidRPr="00964224">
        <w:rPr>
          <w:b/>
          <w:bCs/>
        </w:rPr>
        <w:t>Request: Analyze the RMA return rates by State.</w:t>
      </w:r>
    </w:p>
    <w:p w14:paraId="33ADBC34" w14:textId="77777777" w:rsidR="00AB0362" w:rsidRDefault="00AB0362" w:rsidP="00AB0362">
      <w:pPr>
        <w:suppressAutoHyphens/>
        <w:spacing w:after="0" w:line="240" w:lineRule="auto"/>
      </w:pPr>
    </w:p>
    <w:p w14:paraId="5E4113CE" w14:textId="332F8FA1" w:rsidR="00D26B36" w:rsidRDefault="00AB0362" w:rsidP="00AB0362">
      <w:pPr>
        <w:suppressAutoHyphens/>
        <w:spacing w:after="0" w:line="240" w:lineRule="auto"/>
      </w:pPr>
      <w:r>
        <w:t xml:space="preserve">Results: </w:t>
      </w:r>
      <w:r w:rsidR="00D26B36">
        <w:t>When reviewing the RMA data, there is no clear pattern established by State, with 48 states represented in the RMA data with the least being 702 RMA and the maximum being 972 RMA.</w:t>
      </w:r>
    </w:p>
    <w:p w14:paraId="43A89054" w14:textId="34B5B005" w:rsidR="00D26B36" w:rsidRDefault="00D26B36" w:rsidP="009B54E8">
      <w:pPr>
        <w:suppressAutoHyphens/>
        <w:spacing w:after="0" w:line="240" w:lineRule="auto"/>
        <w:ind w:left="720"/>
      </w:pPr>
    </w:p>
    <w:p w14:paraId="392E90ED" w14:textId="6230F0D3" w:rsidR="00D26B36" w:rsidRDefault="00D26B36" w:rsidP="00D26B36">
      <w:pPr>
        <w:suppressAutoHyphens/>
        <w:spacing w:after="0" w:line="240" w:lineRule="auto"/>
      </w:pPr>
      <w:r>
        <w:rPr>
          <w:noProof/>
        </w:rPr>
        <w:drawing>
          <wp:inline distT="0" distB="0" distL="0" distR="0" wp14:anchorId="7120F284" wp14:editId="441A7F22">
            <wp:extent cx="1492547" cy="5954877"/>
            <wp:effectExtent l="0" t="222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1505461" cy="6006399"/>
                    </a:xfrm>
                    <a:prstGeom prst="rect">
                      <a:avLst/>
                    </a:prstGeom>
                  </pic:spPr>
                </pic:pic>
              </a:graphicData>
            </a:graphic>
          </wp:inline>
        </w:drawing>
      </w:r>
    </w:p>
    <w:p w14:paraId="0A93B6CE" w14:textId="5FD8C2BE" w:rsidR="000A5A03" w:rsidRDefault="000A5A03" w:rsidP="00D26B36">
      <w:pPr>
        <w:suppressAutoHyphens/>
        <w:spacing w:after="0" w:line="240" w:lineRule="auto"/>
      </w:pPr>
    </w:p>
    <w:p w14:paraId="6F24A880" w14:textId="77777777" w:rsidR="00AB0362" w:rsidRDefault="00AB0362" w:rsidP="00D26B36">
      <w:pPr>
        <w:suppressAutoHyphens/>
        <w:spacing w:after="0" w:line="240" w:lineRule="auto"/>
      </w:pPr>
    </w:p>
    <w:p w14:paraId="7FA55142" w14:textId="77777777" w:rsidR="00AB0362" w:rsidRDefault="00AB0362" w:rsidP="00D26B36">
      <w:pPr>
        <w:suppressAutoHyphens/>
        <w:spacing w:after="0" w:line="240" w:lineRule="auto"/>
      </w:pPr>
      <w:r>
        <w:lastRenderedPageBreak/>
        <w:br/>
      </w:r>
    </w:p>
    <w:p w14:paraId="36F1CA36" w14:textId="77777777" w:rsidR="00AB0362" w:rsidRDefault="00AB0362" w:rsidP="00D26B36">
      <w:pPr>
        <w:suppressAutoHyphens/>
        <w:spacing w:after="0" w:line="240" w:lineRule="auto"/>
      </w:pPr>
      <w:r>
        <w:t>Further Analysis:</w:t>
      </w:r>
    </w:p>
    <w:p w14:paraId="19B3DEEC" w14:textId="5B98768E" w:rsidR="000A5A03" w:rsidRDefault="000A5A03" w:rsidP="00D26B36">
      <w:pPr>
        <w:suppressAutoHyphens/>
        <w:spacing w:after="0" w:line="240" w:lineRule="auto"/>
      </w:pPr>
      <w:r>
        <w:t xml:space="preserve">When reviewing the reasons for the RMA’s there is an almost even mix (13116 vs 12609) Incorrect vs defective reason code, so </w:t>
      </w:r>
      <w:r w:rsidR="00AB0362">
        <w:t>~</w:t>
      </w:r>
      <w:r>
        <w:t xml:space="preserve">50% of the RMA requests are attributed to an incorrect </w:t>
      </w:r>
      <w:r w:rsidR="00AB0362">
        <w:t>sales entry error, configuration</w:t>
      </w:r>
      <w:r>
        <w:t xml:space="preserve"> </w:t>
      </w:r>
      <w:r w:rsidR="00AB0362">
        <w:t xml:space="preserve">error </w:t>
      </w:r>
      <w:r>
        <w:t>or shipment</w:t>
      </w:r>
      <w:r w:rsidR="00AB0362">
        <w:t xml:space="preserve"> error</w:t>
      </w:r>
      <w:r>
        <w:t>.</w:t>
      </w:r>
    </w:p>
    <w:p w14:paraId="03090AE5" w14:textId="0CF3967C" w:rsidR="00AB0362" w:rsidRDefault="00AB0362" w:rsidP="00D26B36">
      <w:pPr>
        <w:suppressAutoHyphens/>
        <w:spacing w:after="0" w:line="240" w:lineRule="auto"/>
      </w:pPr>
    </w:p>
    <w:p w14:paraId="77E0DBBA" w14:textId="58E513F4" w:rsidR="00AB0362" w:rsidRDefault="00AB0362" w:rsidP="00D26B36">
      <w:pPr>
        <w:suppressAutoHyphens/>
        <w:spacing w:after="0" w:line="240" w:lineRule="auto"/>
      </w:pPr>
      <w:r>
        <w:t>If the root cause for the Incorrect error code be used, nearly half of all RMAs could potentially be eliminated.  Further analysis was performed to attempt to determine a source for the errors.</w:t>
      </w:r>
    </w:p>
    <w:p w14:paraId="478E58A8" w14:textId="3AEBF787" w:rsidR="000A5A03" w:rsidRDefault="000A5A03" w:rsidP="00D26B36">
      <w:pPr>
        <w:suppressAutoHyphens/>
        <w:spacing w:after="0" w:line="240" w:lineRule="auto"/>
      </w:pPr>
    </w:p>
    <w:p w14:paraId="0983CF5C" w14:textId="78B5616C" w:rsidR="000A5A03" w:rsidRDefault="000A5A03" w:rsidP="00D26B36">
      <w:pPr>
        <w:suppressAutoHyphens/>
        <w:spacing w:after="0" w:line="240" w:lineRule="auto"/>
      </w:pPr>
      <w:r>
        <w:rPr>
          <w:noProof/>
        </w:rPr>
        <w:drawing>
          <wp:inline distT="0" distB="0" distL="0" distR="0" wp14:anchorId="1A5EE90D" wp14:editId="461F4E92">
            <wp:extent cx="17335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971550"/>
                    </a:xfrm>
                    <a:prstGeom prst="rect">
                      <a:avLst/>
                    </a:prstGeom>
                  </pic:spPr>
                </pic:pic>
              </a:graphicData>
            </a:graphic>
          </wp:inline>
        </w:drawing>
      </w:r>
    </w:p>
    <w:p w14:paraId="61675402" w14:textId="540EC098" w:rsidR="007A7A74" w:rsidRDefault="007A7A74" w:rsidP="00D26B36">
      <w:pPr>
        <w:suppressAutoHyphens/>
        <w:spacing w:after="0" w:line="240" w:lineRule="auto"/>
      </w:pPr>
    </w:p>
    <w:p w14:paraId="54FF6853" w14:textId="6B3536D8" w:rsidR="007A7A74" w:rsidRDefault="007A7A74" w:rsidP="00D26B36">
      <w:pPr>
        <w:suppressAutoHyphens/>
        <w:spacing w:after="0" w:line="240" w:lineRule="auto"/>
      </w:pPr>
      <w:r>
        <w:t>It was investigate</w:t>
      </w:r>
      <w:r w:rsidR="00AB0362">
        <w:t>d</w:t>
      </w:r>
      <w:r>
        <w:t xml:space="preserve"> to determine if there was perhaps a product that was more dominant in the returns for ‘incorrect’ that could be attributed to a sales system error, </w:t>
      </w:r>
      <w:r w:rsidR="00AB0362">
        <w:t xml:space="preserve">stocking error or similar, </w:t>
      </w:r>
      <w:r>
        <w:t xml:space="preserve">but there is no meaningful pattern for this </w:t>
      </w:r>
      <w:r w:rsidR="00AB0362">
        <w:t>query</w:t>
      </w:r>
      <w:r>
        <w:t xml:space="preserve">, so the theory of a </w:t>
      </w:r>
      <w:r w:rsidR="00AB0362">
        <w:t>sales or stocking</w:t>
      </w:r>
      <w:r>
        <w:t xml:space="preserve"> system defect appears to be false.</w:t>
      </w:r>
    </w:p>
    <w:p w14:paraId="278B22ED" w14:textId="1FC7A85B" w:rsidR="007A7A74" w:rsidRDefault="007A7A74" w:rsidP="00D26B36">
      <w:pPr>
        <w:suppressAutoHyphens/>
        <w:spacing w:after="0" w:line="240" w:lineRule="auto"/>
      </w:pPr>
    </w:p>
    <w:p w14:paraId="49925EC2" w14:textId="20DA6A41" w:rsidR="007A7A74" w:rsidRDefault="007A7A74" w:rsidP="00D26B36">
      <w:pPr>
        <w:suppressAutoHyphens/>
        <w:spacing w:after="0" w:line="240" w:lineRule="auto"/>
      </w:pPr>
      <w:r>
        <w:rPr>
          <w:noProof/>
        </w:rPr>
        <w:drawing>
          <wp:inline distT="0" distB="0" distL="0" distR="0" wp14:anchorId="690D342D" wp14:editId="3A979A62">
            <wp:extent cx="159067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1857375"/>
                    </a:xfrm>
                    <a:prstGeom prst="rect">
                      <a:avLst/>
                    </a:prstGeom>
                  </pic:spPr>
                </pic:pic>
              </a:graphicData>
            </a:graphic>
          </wp:inline>
        </w:drawing>
      </w:r>
    </w:p>
    <w:p w14:paraId="762B0B96" w14:textId="5D4F68E6" w:rsidR="007A7A74" w:rsidRDefault="007A7A74" w:rsidP="00D26B36">
      <w:pPr>
        <w:suppressAutoHyphens/>
        <w:spacing w:after="0" w:line="240" w:lineRule="auto"/>
      </w:pPr>
    </w:p>
    <w:p w14:paraId="4A78242F" w14:textId="2DD8ADD9" w:rsidR="007A7A74" w:rsidRDefault="00AB0362" w:rsidP="00D26B36">
      <w:pPr>
        <w:suppressAutoHyphens/>
        <w:spacing w:after="0" w:line="240" w:lineRule="auto"/>
      </w:pPr>
      <w:r>
        <w:t>I</w:t>
      </w:r>
      <w:r w:rsidR="007A7A74">
        <w:t>t was investigated if there was an abundance of ‘incorrect’ returns that were demographically correlated, again, no obvious cause was observed.</w:t>
      </w:r>
      <w:r>
        <w:t xml:space="preserve">  The evidence shows a seemingly even distribution of RMA across all states, which eliminates warehouse locations, sales representatives, and similar regionally specific attributes.</w:t>
      </w:r>
    </w:p>
    <w:p w14:paraId="12EF44B2" w14:textId="002B26E0" w:rsidR="007A7A74" w:rsidRDefault="007A7A74" w:rsidP="00D26B36">
      <w:pPr>
        <w:suppressAutoHyphens/>
        <w:spacing w:after="0" w:line="240" w:lineRule="auto"/>
      </w:pPr>
    </w:p>
    <w:p w14:paraId="127F1A6C" w14:textId="5E57595F" w:rsidR="007A7A74" w:rsidRPr="00401136" w:rsidRDefault="007A7A74" w:rsidP="00D26B36">
      <w:pPr>
        <w:suppressAutoHyphens/>
        <w:spacing w:after="0" w:line="240" w:lineRule="auto"/>
      </w:pPr>
      <w:r>
        <w:rPr>
          <w:noProof/>
        </w:rPr>
        <w:drawing>
          <wp:inline distT="0" distB="0" distL="0" distR="0" wp14:anchorId="580C6A00" wp14:editId="2377A380">
            <wp:extent cx="1482759" cy="5985095"/>
            <wp:effectExtent l="0" t="317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1495939" cy="6038295"/>
                    </a:xfrm>
                    <a:prstGeom prst="rect">
                      <a:avLst/>
                    </a:prstGeom>
                  </pic:spPr>
                </pic:pic>
              </a:graphicData>
            </a:graphic>
          </wp:inline>
        </w:drawing>
      </w:r>
    </w:p>
    <w:p w14:paraId="1F014C9E" w14:textId="266820B3" w:rsidR="00AE6917" w:rsidRDefault="00AE6917" w:rsidP="00401136">
      <w:pPr>
        <w:suppressAutoHyphens/>
        <w:spacing w:after="0" w:line="240" w:lineRule="auto"/>
        <w:contextualSpacing/>
      </w:pPr>
    </w:p>
    <w:p w14:paraId="03BB386A" w14:textId="63193308" w:rsidR="00AB0362" w:rsidRDefault="00AB0362" w:rsidP="00401136">
      <w:pPr>
        <w:suppressAutoHyphens/>
        <w:spacing w:after="0" w:line="240" w:lineRule="auto"/>
        <w:contextualSpacing/>
      </w:pPr>
      <w:r>
        <w:lastRenderedPageBreak/>
        <w:t xml:space="preserve">There may exist a data mining solution to the root cause, but it is not apparently obvious with the data analyzed. </w:t>
      </w:r>
      <w:r w:rsidR="00B34027">
        <w:t xml:space="preserve"> </w:t>
      </w:r>
    </w:p>
    <w:p w14:paraId="58C7B5D6" w14:textId="711E3E9C" w:rsidR="00CC2E96" w:rsidRDefault="00CC2E96" w:rsidP="00401136">
      <w:pPr>
        <w:suppressAutoHyphens/>
        <w:spacing w:after="0" w:line="240" w:lineRule="auto"/>
        <w:contextualSpacing/>
      </w:pPr>
    </w:p>
    <w:p w14:paraId="3054DA5D" w14:textId="77777777" w:rsidR="00CC2E96" w:rsidRDefault="00CC2E96" w:rsidP="00401136">
      <w:pPr>
        <w:suppressAutoHyphens/>
        <w:spacing w:after="0" w:line="240" w:lineRule="auto"/>
        <w:contextualSpacing/>
      </w:pPr>
    </w:p>
    <w:p w14:paraId="5842C517" w14:textId="06991792" w:rsidR="00CC2E96" w:rsidRDefault="00CC2E96" w:rsidP="00401136">
      <w:pPr>
        <w:suppressAutoHyphens/>
        <w:spacing w:after="0" w:line="240" w:lineRule="auto"/>
        <w:contextualSpacing/>
      </w:pPr>
      <w:r>
        <w:t>For the ‘Defective’ reason code, all instances were resolved by replacement or refund</w:t>
      </w:r>
    </w:p>
    <w:p w14:paraId="3A29F97B" w14:textId="400C6C1D" w:rsidR="00CC2E96" w:rsidRDefault="00CC2E96" w:rsidP="00401136">
      <w:pPr>
        <w:suppressAutoHyphens/>
        <w:spacing w:after="0" w:line="240" w:lineRule="auto"/>
        <w:contextualSpacing/>
      </w:pPr>
      <w:r>
        <w:rPr>
          <w:noProof/>
        </w:rPr>
        <w:drawing>
          <wp:inline distT="0" distB="0" distL="0" distR="0" wp14:anchorId="1C9F24C6" wp14:editId="2F29C95A">
            <wp:extent cx="5708741" cy="112815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893" cy="1133917"/>
                    </a:xfrm>
                    <a:prstGeom prst="rect">
                      <a:avLst/>
                    </a:prstGeom>
                  </pic:spPr>
                </pic:pic>
              </a:graphicData>
            </a:graphic>
          </wp:inline>
        </w:drawing>
      </w:r>
    </w:p>
    <w:p w14:paraId="379C6CF4" w14:textId="75830F0F" w:rsidR="00CC2E96" w:rsidRDefault="00CC2E96" w:rsidP="00401136">
      <w:pPr>
        <w:suppressAutoHyphens/>
        <w:spacing w:after="0" w:line="240" w:lineRule="auto"/>
        <w:contextualSpacing/>
      </w:pPr>
    </w:p>
    <w:p w14:paraId="3FE5ACA8" w14:textId="1B8F30E8" w:rsidR="00CC2E96" w:rsidRDefault="00CC2E96" w:rsidP="00401136">
      <w:pPr>
        <w:suppressAutoHyphens/>
        <w:spacing w:after="0" w:line="240" w:lineRule="auto"/>
        <w:contextualSpacing/>
      </w:pPr>
      <w:r>
        <w:t>For the ‘Incorrect’ reason code, all instances were resolved by replacement or refund.</w:t>
      </w:r>
    </w:p>
    <w:p w14:paraId="5F540726" w14:textId="302BA614" w:rsidR="00CC2E96" w:rsidRDefault="00CC2E96" w:rsidP="00401136">
      <w:pPr>
        <w:suppressAutoHyphens/>
        <w:spacing w:after="0" w:line="240" w:lineRule="auto"/>
        <w:contextualSpacing/>
      </w:pPr>
      <w:r>
        <w:rPr>
          <w:noProof/>
        </w:rPr>
        <w:drawing>
          <wp:inline distT="0" distB="0" distL="0" distR="0" wp14:anchorId="158F15CD" wp14:editId="1E49FA98">
            <wp:extent cx="5663023" cy="9619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750" cy="965931"/>
                    </a:xfrm>
                    <a:prstGeom prst="rect">
                      <a:avLst/>
                    </a:prstGeom>
                  </pic:spPr>
                </pic:pic>
              </a:graphicData>
            </a:graphic>
          </wp:inline>
        </w:drawing>
      </w:r>
    </w:p>
    <w:p w14:paraId="18CC5BCB" w14:textId="72EA2C45" w:rsidR="00AB0362" w:rsidRDefault="00AB0362" w:rsidP="00401136">
      <w:pPr>
        <w:suppressAutoHyphens/>
        <w:spacing w:after="0" w:line="240" w:lineRule="auto"/>
        <w:contextualSpacing/>
      </w:pPr>
    </w:p>
    <w:p w14:paraId="1CB155BE" w14:textId="179260CB" w:rsidR="00AB0362" w:rsidRDefault="00AB0362" w:rsidP="00401136">
      <w:pPr>
        <w:suppressAutoHyphens/>
        <w:spacing w:after="0" w:line="240" w:lineRule="auto"/>
        <w:contextualSpacing/>
      </w:pPr>
      <w:r>
        <w:t xml:space="preserve">Some </w:t>
      </w:r>
      <w:r w:rsidR="00B34027">
        <w:t>opportunities</w:t>
      </w:r>
      <w:r>
        <w:t xml:space="preserve"> for database enhancement </w:t>
      </w:r>
      <w:proofErr w:type="gramStart"/>
      <w:r>
        <w:t>has</w:t>
      </w:r>
      <w:proofErr w:type="gramEnd"/>
      <w:r>
        <w:t xml:space="preserve"> been </w:t>
      </w:r>
      <w:r w:rsidR="00B34027">
        <w:t xml:space="preserve">noted during the analysis.  </w:t>
      </w:r>
    </w:p>
    <w:p w14:paraId="65980165" w14:textId="137A5BA2" w:rsidR="00B34027" w:rsidRDefault="00B34027" w:rsidP="00401136">
      <w:pPr>
        <w:suppressAutoHyphens/>
        <w:spacing w:after="0" w:line="240" w:lineRule="auto"/>
        <w:contextualSpacing/>
      </w:pPr>
    </w:p>
    <w:p w14:paraId="581A0475" w14:textId="39549A75" w:rsidR="00B34027" w:rsidRDefault="00B34027" w:rsidP="00B34027">
      <w:pPr>
        <w:pStyle w:val="ListParagraph"/>
        <w:numPr>
          <w:ilvl w:val="0"/>
          <w:numId w:val="5"/>
        </w:numPr>
        <w:suppressAutoHyphens/>
        <w:spacing w:after="0" w:line="240" w:lineRule="auto"/>
      </w:pPr>
      <w:r>
        <w:t>Orders Data table</w:t>
      </w:r>
    </w:p>
    <w:p w14:paraId="7DB65850" w14:textId="1B424F4F" w:rsidR="00B34027" w:rsidRDefault="00B34027" w:rsidP="00B34027">
      <w:pPr>
        <w:pStyle w:val="ListParagraph"/>
        <w:numPr>
          <w:ilvl w:val="1"/>
          <w:numId w:val="5"/>
        </w:numPr>
        <w:suppressAutoHyphens/>
        <w:spacing w:after="0" w:line="240" w:lineRule="auto"/>
      </w:pPr>
      <w:r>
        <w:t>No date information is available to look for timeline correlations</w:t>
      </w:r>
    </w:p>
    <w:p w14:paraId="59E94B2F" w14:textId="3F896299" w:rsidR="00B34027" w:rsidRDefault="00B34027" w:rsidP="00B34027">
      <w:pPr>
        <w:pStyle w:val="ListParagraph"/>
        <w:numPr>
          <w:ilvl w:val="1"/>
          <w:numId w:val="5"/>
        </w:numPr>
        <w:suppressAutoHyphens/>
        <w:spacing w:after="0" w:line="240" w:lineRule="auto"/>
      </w:pPr>
      <w:r>
        <w:t xml:space="preserve">No Order Entry method information is available (online, phone, </w:t>
      </w:r>
      <w:proofErr w:type="spellStart"/>
      <w:r>
        <w:t>etc</w:t>
      </w:r>
      <w:proofErr w:type="spellEnd"/>
      <w:r>
        <w:t>)</w:t>
      </w:r>
    </w:p>
    <w:p w14:paraId="14986206" w14:textId="4ED5C743" w:rsidR="00B34027" w:rsidRDefault="00B34027" w:rsidP="00B34027">
      <w:pPr>
        <w:pStyle w:val="ListParagraph"/>
        <w:numPr>
          <w:ilvl w:val="1"/>
          <w:numId w:val="5"/>
        </w:numPr>
        <w:suppressAutoHyphens/>
        <w:spacing w:after="0" w:line="240" w:lineRule="auto"/>
      </w:pPr>
      <w:r>
        <w:t>No ordered configuration information is available to compare against shipment configuration information (Neither are available)</w:t>
      </w:r>
    </w:p>
    <w:p w14:paraId="7A4A4761" w14:textId="5C46C55A" w:rsidR="00B34027" w:rsidRDefault="00B34027" w:rsidP="00B34027">
      <w:pPr>
        <w:pStyle w:val="ListParagraph"/>
        <w:numPr>
          <w:ilvl w:val="1"/>
          <w:numId w:val="5"/>
        </w:numPr>
        <w:suppressAutoHyphens/>
        <w:spacing w:after="0" w:line="240" w:lineRule="auto"/>
      </w:pPr>
      <w:r>
        <w:t>Order fulfillment details are not available.</w:t>
      </w:r>
    </w:p>
    <w:p w14:paraId="0131FFAC" w14:textId="5C951968" w:rsidR="00B34027" w:rsidRDefault="00B34027" w:rsidP="00B34027">
      <w:pPr>
        <w:pStyle w:val="ListParagraph"/>
        <w:numPr>
          <w:ilvl w:val="1"/>
          <w:numId w:val="5"/>
        </w:numPr>
        <w:suppressAutoHyphens/>
        <w:spacing w:after="0" w:line="240" w:lineRule="auto"/>
      </w:pPr>
      <w:r>
        <w:t>Shipping logistics details are not available.</w:t>
      </w:r>
    </w:p>
    <w:p w14:paraId="5EFC94F4" w14:textId="60186005" w:rsidR="00B34027" w:rsidRDefault="00B34027" w:rsidP="00B34027">
      <w:pPr>
        <w:pStyle w:val="ListParagraph"/>
        <w:numPr>
          <w:ilvl w:val="0"/>
          <w:numId w:val="5"/>
        </w:numPr>
        <w:suppressAutoHyphens/>
        <w:spacing w:after="0" w:line="240" w:lineRule="auto"/>
      </w:pPr>
      <w:r>
        <w:t>RMA data table</w:t>
      </w:r>
    </w:p>
    <w:p w14:paraId="22287829" w14:textId="5C15BBDA" w:rsidR="00B34027" w:rsidRDefault="00B34027" w:rsidP="00B34027">
      <w:pPr>
        <w:pStyle w:val="ListParagraph"/>
        <w:numPr>
          <w:ilvl w:val="1"/>
          <w:numId w:val="5"/>
        </w:numPr>
        <w:suppressAutoHyphens/>
        <w:spacing w:after="0" w:line="240" w:lineRule="auto"/>
      </w:pPr>
      <w:r>
        <w:t>No date tracking information is available.  Some RMA could be left open for extended periods of time, having a date stamp can be used to priority sort older RMAs to ensure timely resolution.</w:t>
      </w:r>
    </w:p>
    <w:p w14:paraId="48D48711" w14:textId="6324B0B1" w:rsidR="00964224" w:rsidRDefault="00964224" w:rsidP="00B34027">
      <w:pPr>
        <w:pStyle w:val="ListParagraph"/>
        <w:numPr>
          <w:ilvl w:val="1"/>
          <w:numId w:val="5"/>
        </w:numPr>
        <w:suppressAutoHyphens/>
        <w:spacing w:after="0" w:line="240" w:lineRule="auto"/>
      </w:pPr>
      <w:r>
        <w:t>Each step change should be tracked with individual date stamps, and respective technician traceability</w:t>
      </w:r>
    </w:p>
    <w:p w14:paraId="119B7263" w14:textId="5CD80603" w:rsidR="00964224" w:rsidRDefault="00964224" w:rsidP="00B34027">
      <w:pPr>
        <w:pStyle w:val="ListParagraph"/>
        <w:numPr>
          <w:ilvl w:val="1"/>
          <w:numId w:val="5"/>
        </w:numPr>
        <w:suppressAutoHyphens/>
        <w:spacing w:after="0" w:line="240" w:lineRule="auto"/>
      </w:pPr>
      <w:r>
        <w:t xml:space="preserve">Reason codes are insufficient to allow detailed analysis, all that is known is that a defect has occurred, there is no ability to determine the highest causes </w:t>
      </w:r>
      <w:r w:rsidR="00CC2E96">
        <w:t>/locations of the defects within each product respectively to help engineering take corrective actions outside of requesting empirical analysis by the RMA Technicians.</w:t>
      </w:r>
    </w:p>
    <w:p w14:paraId="12D2FB51" w14:textId="05D9F12B" w:rsidR="00B34027" w:rsidRDefault="00B34027" w:rsidP="00B34027">
      <w:pPr>
        <w:suppressAutoHyphens/>
        <w:spacing w:after="0" w:line="240" w:lineRule="auto"/>
      </w:pPr>
    </w:p>
    <w:p w14:paraId="1505C043" w14:textId="1D0B1F86" w:rsidR="00B34027" w:rsidRDefault="00B34027" w:rsidP="00B34027">
      <w:pPr>
        <w:suppressAutoHyphens/>
        <w:spacing w:after="0" w:line="240" w:lineRule="auto"/>
      </w:pPr>
      <w:r>
        <w:t>With enhanced data tracking details, it might be possible to identify the root cause, but the very high returns for seemingly Human Error needs to be a priority focus to establish root cause and implement corrective actions appropriately immediately to improve efficiency, reduce RMA service costs, and most importantly improve customer satisfactions.</w:t>
      </w:r>
    </w:p>
    <w:p w14:paraId="4EC517F8" w14:textId="7A355916" w:rsidR="00B34027" w:rsidRDefault="00B34027" w:rsidP="00B34027">
      <w:pPr>
        <w:suppressAutoHyphens/>
        <w:spacing w:after="0" w:line="240" w:lineRule="auto"/>
      </w:pPr>
    </w:p>
    <w:p w14:paraId="6BA79295" w14:textId="5C487765" w:rsidR="00B34027" w:rsidRDefault="00B34027" w:rsidP="00B34027">
      <w:pPr>
        <w:suppressAutoHyphens/>
        <w:spacing w:after="0" w:line="240" w:lineRule="auto"/>
      </w:pPr>
      <w:r>
        <w:t xml:space="preserve">As points of improvement, the RMA tracking tools, Sales Entry tools, shipping tools, </w:t>
      </w:r>
      <w:r w:rsidR="00CC2E96">
        <w:t>etc. need</w:t>
      </w:r>
      <w:r>
        <w:t xml:space="preserve"> to be investigated for the ability to increase the data that is collected to improve overall tracking and </w:t>
      </w:r>
      <w:r>
        <w:lastRenderedPageBreak/>
        <w:t>accounting for sales and RMA transactions</w:t>
      </w:r>
      <w:r w:rsidR="00964224">
        <w:t xml:space="preserve">.  This will be a </w:t>
      </w:r>
      <w:r w:rsidR="00CC2E96">
        <w:t>medium-term</w:t>
      </w:r>
      <w:r w:rsidR="00964224">
        <w:t xml:space="preserve"> duration task which can be exercised outside the root cause analysis for ‘Incorrect’ errors.</w:t>
      </w:r>
    </w:p>
    <w:p w14:paraId="41637893" w14:textId="20157379" w:rsidR="00964224" w:rsidRDefault="00964224" w:rsidP="00B34027">
      <w:pPr>
        <w:suppressAutoHyphens/>
        <w:spacing w:after="0" w:line="240" w:lineRule="auto"/>
      </w:pPr>
    </w:p>
    <w:p w14:paraId="71FBBB27" w14:textId="7318B921" w:rsidR="00964224" w:rsidRDefault="00964224" w:rsidP="00B34027">
      <w:pPr>
        <w:suppressAutoHyphens/>
        <w:spacing w:after="0" w:line="240" w:lineRule="auto"/>
      </w:pPr>
      <w:r>
        <w:t xml:space="preserve">One additional </w:t>
      </w:r>
      <w:r w:rsidR="00CC2E96">
        <w:t>recommendation</w:t>
      </w:r>
      <w:r>
        <w:t xml:space="preserve"> would be to interview the RMA personnel to ensure the RMA codes are being used as intended, and they are not just being used as ‘Catch-All’ buckets due to lack of understanding or lack of applicable correct bin options.</w:t>
      </w:r>
    </w:p>
    <w:p w14:paraId="6A774BAC" w14:textId="3E998583" w:rsidR="55F9E82B" w:rsidRPr="00964224" w:rsidRDefault="55F9E82B" w:rsidP="00964224"/>
    <w:sectPr w:rsidR="55F9E82B" w:rsidRPr="00964224" w:rsidSect="00D26B36">
      <w:headerReference w:type="default" r:id="rId18"/>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CA2B" w14:textId="77777777" w:rsidR="00867882" w:rsidRDefault="00867882">
      <w:pPr>
        <w:spacing w:after="0" w:line="240" w:lineRule="auto"/>
      </w:pPr>
      <w:r>
        <w:separator/>
      </w:r>
    </w:p>
  </w:endnote>
  <w:endnote w:type="continuationSeparator" w:id="0">
    <w:p w14:paraId="161B48FD" w14:textId="77777777" w:rsidR="00867882" w:rsidRDefault="0086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6CBD" w14:textId="77777777" w:rsidR="00867882" w:rsidRDefault="00867882">
      <w:pPr>
        <w:spacing w:after="0" w:line="240" w:lineRule="auto"/>
      </w:pPr>
      <w:r>
        <w:separator/>
      </w:r>
    </w:p>
  </w:footnote>
  <w:footnote w:type="continuationSeparator" w:id="0">
    <w:p w14:paraId="77860ED3" w14:textId="77777777" w:rsidR="00867882" w:rsidRDefault="00867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A60303D" w:rsidR="00ED44F4" w:rsidRPr="00AB273B" w:rsidRDefault="00AB273B" w:rsidP="00AB273B">
    <w:pPr>
      <w:spacing w:after="200"/>
      <w:contextualSpacing/>
      <w:jc w:val="center"/>
      <w:rPr>
        <w:color w:val="000000"/>
        <w:lang w:val="en"/>
      </w:rPr>
    </w:pPr>
    <w:r w:rsidRPr="00BE779A">
      <w:rPr>
        <w:rFonts w:ascii="Arial" w:eastAsia="Arial" w:hAnsi="Arial" w:cs="Arial"/>
        <w:noProof/>
        <w:lang w:val="en"/>
      </w:rPr>
      <w:drawing>
        <wp:inline distT="0" distB="0" distL="0" distR="0" wp14:anchorId="4CF6A086" wp14:editId="2C791484">
          <wp:extent cx="784225" cy="435610"/>
          <wp:effectExtent l="0" t="0" r="0" b="2540"/>
          <wp:docPr id="5"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30A56"/>
    <w:multiLevelType w:val="hybridMultilevel"/>
    <w:tmpl w:val="41A0F1DE"/>
    <w:lvl w:ilvl="0" w:tplc="55D410EE">
      <w:start w:val="1"/>
      <w:numFmt w:val="bullet"/>
      <w:lvlText w:val=""/>
      <w:lvlJc w:val="left"/>
      <w:pPr>
        <w:ind w:left="720" w:hanging="360"/>
      </w:pPr>
      <w:rPr>
        <w:rFonts w:ascii="Symbol" w:hAnsi="Symbol" w:hint="default"/>
      </w:rPr>
    </w:lvl>
    <w:lvl w:ilvl="1" w:tplc="C01A2AF0">
      <w:start w:val="1"/>
      <w:numFmt w:val="bullet"/>
      <w:lvlText w:val="o"/>
      <w:lvlJc w:val="left"/>
      <w:pPr>
        <w:ind w:left="1440" w:hanging="360"/>
      </w:pPr>
      <w:rPr>
        <w:rFonts w:ascii="Courier New" w:hAnsi="Courier New" w:hint="default"/>
      </w:rPr>
    </w:lvl>
    <w:lvl w:ilvl="2" w:tplc="B7F274AA">
      <w:start w:val="1"/>
      <w:numFmt w:val="bullet"/>
      <w:lvlText w:val=""/>
      <w:lvlJc w:val="left"/>
      <w:pPr>
        <w:ind w:left="2160" w:hanging="360"/>
      </w:pPr>
      <w:rPr>
        <w:rFonts w:ascii="Wingdings" w:hAnsi="Wingdings" w:hint="default"/>
      </w:rPr>
    </w:lvl>
    <w:lvl w:ilvl="3" w:tplc="15D4A320">
      <w:start w:val="1"/>
      <w:numFmt w:val="bullet"/>
      <w:lvlText w:val=""/>
      <w:lvlJc w:val="left"/>
      <w:pPr>
        <w:ind w:left="2880" w:hanging="360"/>
      </w:pPr>
      <w:rPr>
        <w:rFonts w:ascii="Symbol" w:hAnsi="Symbol" w:hint="default"/>
      </w:rPr>
    </w:lvl>
    <w:lvl w:ilvl="4" w:tplc="743C95C2">
      <w:start w:val="1"/>
      <w:numFmt w:val="bullet"/>
      <w:lvlText w:val="o"/>
      <w:lvlJc w:val="left"/>
      <w:pPr>
        <w:ind w:left="3600" w:hanging="360"/>
      </w:pPr>
      <w:rPr>
        <w:rFonts w:ascii="Courier New" w:hAnsi="Courier New" w:hint="default"/>
      </w:rPr>
    </w:lvl>
    <w:lvl w:ilvl="5" w:tplc="9E803D04">
      <w:start w:val="1"/>
      <w:numFmt w:val="bullet"/>
      <w:lvlText w:val=""/>
      <w:lvlJc w:val="left"/>
      <w:pPr>
        <w:ind w:left="4320" w:hanging="360"/>
      </w:pPr>
      <w:rPr>
        <w:rFonts w:ascii="Wingdings" w:hAnsi="Wingdings" w:hint="default"/>
      </w:rPr>
    </w:lvl>
    <w:lvl w:ilvl="6" w:tplc="0D6893A2">
      <w:start w:val="1"/>
      <w:numFmt w:val="bullet"/>
      <w:lvlText w:val=""/>
      <w:lvlJc w:val="left"/>
      <w:pPr>
        <w:ind w:left="5040" w:hanging="360"/>
      </w:pPr>
      <w:rPr>
        <w:rFonts w:ascii="Symbol" w:hAnsi="Symbol" w:hint="default"/>
      </w:rPr>
    </w:lvl>
    <w:lvl w:ilvl="7" w:tplc="5512E77A">
      <w:start w:val="1"/>
      <w:numFmt w:val="bullet"/>
      <w:lvlText w:val="o"/>
      <w:lvlJc w:val="left"/>
      <w:pPr>
        <w:ind w:left="5760" w:hanging="360"/>
      </w:pPr>
      <w:rPr>
        <w:rFonts w:ascii="Courier New" w:hAnsi="Courier New" w:hint="default"/>
      </w:rPr>
    </w:lvl>
    <w:lvl w:ilvl="8" w:tplc="F9ACE7DA">
      <w:start w:val="1"/>
      <w:numFmt w:val="bullet"/>
      <w:lvlText w:val=""/>
      <w:lvlJc w:val="left"/>
      <w:pPr>
        <w:ind w:left="6480" w:hanging="360"/>
      </w:pPr>
      <w:rPr>
        <w:rFonts w:ascii="Wingdings" w:hAnsi="Wingdings" w:hint="default"/>
      </w:rPr>
    </w:lvl>
  </w:abstractNum>
  <w:abstractNum w:abstractNumId="2"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A1700"/>
    <w:multiLevelType w:val="hybridMultilevel"/>
    <w:tmpl w:val="AEB8564C"/>
    <w:lvl w:ilvl="0" w:tplc="0B90E07C">
      <w:start w:val="1"/>
      <w:numFmt w:val="decimal"/>
      <w:lvlText w:val="%1."/>
      <w:lvlJc w:val="left"/>
      <w:pPr>
        <w:ind w:left="720" w:hanging="360"/>
      </w:pPr>
      <w:rPr>
        <w:b w:val="0"/>
        <w:bCs/>
      </w:rPr>
    </w:lvl>
    <w:lvl w:ilvl="1" w:tplc="9B66226E">
      <w:start w:val="1"/>
      <w:numFmt w:val="upperLetter"/>
      <w:lvlText w:val="%2."/>
      <w:lvlJc w:val="left"/>
      <w:pPr>
        <w:ind w:left="1440" w:hanging="360"/>
      </w:pPr>
    </w:lvl>
    <w:lvl w:ilvl="2" w:tplc="3B5EF3CC">
      <w:start w:val="1"/>
      <w:numFmt w:val="lowerRoman"/>
      <w:lvlText w:val="%3."/>
      <w:lvlJc w:val="right"/>
      <w:pPr>
        <w:ind w:left="2160" w:hanging="180"/>
      </w:pPr>
    </w:lvl>
    <w:lvl w:ilvl="3" w:tplc="87322B68">
      <w:start w:val="1"/>
      <w:numFmt w:val="bullet"/>
      <w:lvlText w:val=""/>
      <w:lvlJc w:val="left"/>
      <w:pPr>
        <w:ind w:left="2880" w:hanging="360"/>
      </w:pPr>
    </w:lvl>
    <w:lvl w:ilvl="4" w:tplc="7BB09256">
      <w:start w:val="1"/>
      <w:numFmt w:val="lowerLetter"/>
      <w:lvlText w:val="%5."/>
      <w:lvlJc w:val="left"/>
      <w:pPr>
        <w:ind w:left="3600" w:hanging="360"/>
      </w:pPr>
    </w:lvl>
    <w:lvl w:ilvl="5" w:tplc="67162DA2">
      <w:start w:val="1"/>
      <w:numFmt w:val="lowerRoman"/>
      <w:lvlText w:val="%6."/>
      <w:lvlJc w:val="right"/>
      <w:pPr>
        <w:ind w:left="4320" w:hanging="180"/>
      </w:pPr>
    </w:lvl>
    <w:lvl w:ilvl="6" w:tplc="F6FA9E6A">
      <w:start w:val="1"/>
      <w:numFmt w:val="decimal"/>
      <w:lvlText w:val="%7."/>
      <w:lvlJc w:val="left"/>
      <w:pPr>
        <w:ind w:left="5040" w:hanging="360"/>
      </w:pPr>
    </w:lvl>
    <w:lvl w:ilvl="7" w:tplc="AF885FFA">
      <w:start w:val="1"/>
      <w:numFmt w:val="lowerLetter"/>
      <w:lvlText w:val="%8."/>
      <w:lvlJc w:val="left"/>
      <w:pPr>
        <w:ind w:left="5760" w:hanging="360"/>
      </w:pPr>
    </w:lvl>
    <w:lvl w:ilvl="8" w:tplc="7AE62CDC">
      <w:start w:val="1"/>
      <w:numFmt w:val="lowerRoman"/>
      <w:lvlText w:val="%9."/>
      <w:lvlJc w:val="right"/>
      <w:pPr>
        <w:ind w:left="6480" w:hanging="180"/>
      </w:pPr>
    </w:lvl>
  </w:abstractNum>
  <w:abstractNum w:abstractNumId="4" w15:restartNumberingAfterBreak="0">
    <w:nsid w:val="792854F3"/>
    <w:multiLevelType w:val="hybridMultilevel"/>
    <w:tmpl w:val="5FA81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MDA3MDM2MTY0NjFQ0lEKTi0uzszPAykwqgUAs95V+iwAAAA="/>
  </w:docVars>
  <w:rsids>
    <w:rsidRoot w:val="00ED44F4"/>
    <w:rsid w:val="0001662A"/>
    <w:rsid w:val="00030718"/>
    <w:rsid w:val="000551EC"/>
    <w:rsid w:val="00096DBA"/>
    <w:rsid w:val="000A5A03"/>
    <w:rsid w:val="0011356A"/>
    <w:rsid w:val="00121B16"/>
    <w:rsid w:val="001350EB"/>
    <w:rsid w:val="00196D8D"/>
    <w:rsid w:val="00240526"/>
    <w:rsid w:val="002A58BD"/>
    <w:rsid w:val="003C6C92"/>
    <w:rsid w:val="003E367A"/>
    <w:rsid w:val="00401136"/>
    <w:rsid w:val="00432D5F"/>
    <w:rsid w:val="004538A5"/>
    <w:rsid w:val="004B7D0C"/>
    <w:rsid w:val="004C582D"/>
    <w:rsid w:val="004E423B"/>
    <w:rsid w:val="00564DB6"/>
    <w:rsid w:val="006E399A"/>
    <w:rsid w:val="00713BC6"/>
    <w:rsid w:val="007522D6"/>
    <w:rsid w:val="00765277"/>
    <w:rsid w:val="007A7A74"/>
    <w:rsid w:val="007C6333"/>
    <w:rsid w:val="00867882"/>
    <w:rsid w:val="008F07D5"/>
    <w:rsid w:val="009437B7"/>
    <w:rsid w:val="00964224"/>
    <w:rsid w:val="00971C81"/>
    <w:rsid w:val="009775BF"/>
    <w:rsid w:val="009B54E8"/>
    <w:rsid w:val="009B5A30"/>
    <w:rsid w:val="00A33165"/>
    <w:rsid w:val="00AB0362"/>
    <w:rsid w:val="00AB273B"/>
    <w:rsid w:val="00AE6917"/>
    <w:rsid w:val="00B15661"/>
    <w:rsid w:val="00B34027"/>
    <w:rsid w:val="00BD2869"/>
    <w:rsid w:val="00C203B4"/>
    <w:rsid w:val="00CC2E96"/>
    <w:rsid w:val="00CD580D"/>
    <w:rsid w:val="00D26B36"/>
    <w:rsid w:val="00D47544"/>
    <w:rsid w:val="00D61599"/>
    <w:rsid w:val="00DD1BB2"/>
    <w:rsid w:val="00DD3FF5"/>
    <w:rsid w:val="00DE4129"/>
    <w:rsid w:val="00E076D0"/>
    <w:rsid w:val="00E34862"/>
    <w:rsid w:val="00E538AE"/>
    <w:rsid w:val="00E561FB"/>
    <w:rsid w:val="00ED44F4"/>
    <w:rsid w:val="031454E7"/>
    <w:rsid w:val="035B6321"/>
    <w:rsid w:val="048FB0A0"/>
    <w:rsid w:val="049A5008"/>
    <w:rsid w:val="053E23AA"/>
    <w:rsid w:val="05AE430F"/>
    <w:rsid w:val="05DC9D3D"/>
    <w:rsid w:val="06529127"/>
    <w:rsid w:val="06E3A7AE"/>
    <w:rsid w:val="080789E5"/>
    <w:rsid w:val="09396BC9"/>
    <w:rsid w:val="09F2CF21"/>
    <w:rsid w:val="0BEE5EBC"/>
    <w:rsid w:val="0C615B36"/>
    <w:rsid w:val="0CA3A096"/>
    <w:rsid w:val="0D473ADD"/>
    <w:rsid w:val="0D63BDA3"/>
    <w:rsid w:val="0DD78328"/>
    <w:rsid w:val="0DF93729"/>
    <w:rsid w:val="0E642ED1"/>
    <w:rsid w:val="0F041FEF"/>
    <w:rsid w:val="1075FB8E"/>
    <w:rsid w:val="10A80951"/>
    <w:rsid w:val="10FA2DB0"/>
    <w:rsid w:val="115F2381"/>
    <w:rsid w:val="11D981DF"/>
    <w:rsid w:val="121CD1E2"/>
    <w:rsid w:val="12E8C7FD"/>
    <w:rsid w:val="12EA8E65"/>
    <w:rsid w:val="13B1EB4E"/>
    <w:rsid w:val="1484985E"/>
    <w:rsid w:val="14A35E19"/>
    <w:rsid w:val="1553AFFC"/>
    <w:rsid w:val="15B2337D"/>
    <w:rsid w:val="15F22F9E"/>
    <w:rsid w:val="1668B4F1"/>
    <w:rsid w:val="168A6D93"/>
    <w:rsid w:val="194494D0"/>
    <w:rsid w:val="197CA67D"/>
    <w:rsid w:val="1AAFD106"/>
    <w:rsid w:val="1B76310E"/>
    <w:rsid w:val="1BC4CB0A"/>
    <w:rsid w:val="1C119983"/>
    <w:rsid w:val="1C409482"/>
    <w:rsid w:val="1CAA4AE0"/>
    <w:rsid w:val="1CE50417"/>
    <w:rsid w:val="1D12016F"/>
    <w:rsid w:val="1D7B439B"/>
    <w:rsid w:val="1DB0AB8B"/>
    <w:rsid w:val="1E06942E"/>
    <w:rsid w:val="1E461B41"/>
    <w:rsid w:val="1EF61635"/>
    <w:rsid w:val="1FE21191"/>
    <w:rsid w:val="2069D351"/>
    <w:rsid w:val="213E34F0"/>
    <w:rsid w:val="21DD2F33"/>
    <w:rsid w:val="22961E12"/>
    <w:rsid w:val="2338FF5A"/>
    <w:rsid w:val="234E5EA0"/>
    <w:rsid w:val="23F2AEBA"/>
    <w:rsid w:val="242E5599"/>
    <w:rsid w:val="2562E40A"/>
    <w:rsid w:val="25657DA8"/>
    <w:rsid w:val="25D6CB4D"/>
    <w:rsid w:val="27417D27"/>
    <w:rsid w:val="280FFA0A"/>
    <w:rsid w:val="2839B348"/>
    <w:rsid w:val="28F543B2"/>
    <w:rsid w:val="290BAE44"/>
    <w:rsid w:val="2962A620"/>
    <w:rsid w:val="29ABCA6B"/>
    <w:rsid w:val="2CD84495"/>
    <w:rsid w:val="2CDD24F7"/>
    <w:rsid w:val="2FB3FA11"/>
    <w:rsid w:val="2FCD83C0"/>
    <w:rsid w:val="2FD1E7A4"/>
    <w:rsid w:val="30A9083E"/>
    <w:rsid w:val="30C99B3A"/>
    <w:rsid w:val="30CF3710"/>
    <w:rsid w:val="30DCA661"/>
    <w:rsid w:val="30FE7558"/>
    <w:rsid w:val="3129A20B"/>
    <w:rsid w:val="318638AD"/>
    <w:rsid w:val="31AF89AC"/>
    <w:rsid w:val="31DA2B9B"/>
    <w:rsid w:val="320A6ACF"/>
    <w:rsid w:val="33D9BE92"/>
    <w:rsid w:val="3532E145"/>
    <w:rsid w:val="37BBE7F5"/>
    <w:rsid w:val="38F7C4B3"/>
    <w:rsid w:val="391BD98E"/>
    <w:rsid w:val="39252DB3"/>
    <w:rsid w:val="3A249C18"/>
    <w:rsid w:val="3A798C48"/>
    <w:rsid w:val="3AB5B128"/>
    <w:rsid w:val="3AFCC0BF"/>
    <w:rsid w:val="3BFC036A"/>
    <w:rsid w:val="3C155CA9"/>
    <w:rsid w:val="3CC9A3B9"/>
    <w:rsid w:val="3CDAD1B5"/>
    <w:rsid w:val="3D013967"/>
    <w:rsid w:val="3D05ACAA"/>
    <w:rsid w:val="3E51FEA3"/>
    <w:rsid w:val="3E5E4C84"/>
    <w:rsid w:val="40765979"/>
    <w:rsid w:val="40C511A3"/>
    <w:rsid w:val="41726B0B"/>
    <w:rsid w:val="41965511"/>
    <w:rsid w:val="41CD64C1"/>
    <w:rsid w:val="4338DA0D"/>
    <w:rsid w:val="43B76121"/>
    <w:rsid w:val="44FB7137"/>
    <w:rsid w:val="45A1FF38"/>
    <w:rsid w:val="45CDE846"/>
    <w:rsid w:val="46A0D5E4"/>
    <w:rsid w:val="475FFCD6"/>
    <w:rsid w:val="478DA86B"/>
    <w:rsid w:val="48816B5E"/>
    <w:rsid w:val="48C19755"/>
    <w:rsid w:val="48CD3249"/>
    <w:rsid w:val="49496E18"/>
    <w:rsid w:val="4972AEE8"/>
    <w:rsid w:val="4A1D3BBF"/>
    <w:rsid w:val="4A7E753B"/>
    <w:rsid w:val="4C4FFB00"/>
    <w:rsid w:val="4CD7B444"/>
    <w:rsid w:val="4F23D110"/>
    <w:rsid w:val="4F51E65E"/>
    <w:rsid w:val="4F8A81B1"/>
    <w:rsid w:val="4FD5F2E9"/>
    <w:rsid w:val="53F70DAA"/>
    <w:rsid w:val="54343A66"/>
    <w:rsid w:val="543E7FDE"/>
    <w:rsid w:val="5496CB15"/>
    <w:rsid w:val="550F1C00"/>
    <w:rsid w:val="55F9E82B"/>
    <w:rsid w:val="56209C0D"/>
    <w:rsid w:val="57B37A9E"/>
    <w:rsid w:val="5837ACC0"/>
    <w:rsid w:val="585AB795"/>
    <w:rsid w:val="587E66CB"/>
    <w:rsid w:val="58C7808B"/>
    <w:rsid w:val="58E485D0"/>
    <w:rsid w:val="591D21E0"/>
    <w:rsid w:val="5B61FD42"/>
    <w:rsid w:val="5BB1835A"/>
    <w:rsid w:val="5CA83563"/>
    <w:rsid w:val="5E459AE1"/>
    <w:rsid w:val="5EB116A7"/>
    <w:rsid w:val="5EE2E4BD"/>
    <w:rsid w:val="5F1879E3"/>
    <w:rsid w:val="5F4B1C34"/>
    <w:rsid w:val="5F532E75"/>
    <w:rsid w:val="607EB51E"/>
    <w:rsid w:val="60C825FF"/>
    <w:rsid w:val="610BC80F"/>
    <w:rsid w:val="6138ACC5"/>
    <w:rsid w:val="625923B1"/>
    <w:rsid w:val="629BBB67"/>
    <w:rsid w:val="62A79870"/>
    <w:rsid w:val="646C9033"/>
    <w:rsid w:val="67214E22"/>
    <w:rsid w:val="678A7DDF"/>
    <w:rsid w:val="6834DC6E"/>
    <w:rsid w:val="68C5EC10"/>
    <w:rsid w:val="68DCEAD7"/>
    <w:rsid w:val="6916D9F4"/>
    <w:rsid w:val="69C3284E"/>
    <w:rsid w:val="6AF4DF48"/>
    <w:rsid w:val="6B346981"/>
    <w:rsid w:val="6B50F7EE"/>
    <w:rsid w:val="6B61025C"/>
    <w:rsid w:val="6BBDF2B8"/>
    <w:rsid w:val="6BCCB2EA"/>
    <w:rsid w:val="6BED0DF4"/>
    <w:rsid w:val="6BFB633C"/>
    <w:rsid w:val="6C642D67"/>
    <w:rsid w:val="6C64A78F"/>
    <w:rsid w:val="6EC961BA"/>
    <w:rsid w:val="6EF5A3F0"/>
    <w:rsid w:val="70838050"/>
    <w:rsid w:val="70ADE92E"/>
    <w:rsid w:val="70DBEECD"/>
    <w:rsid w:val="719E1DD3"/>
    <w:rsid w:val="71F498E9"/>
    <w:rsid w:val="7201027C"/>
    <w:rsid w:val="72BA468E"/>
    <w:rsid w:val="72F1AE45"/>
    <w:rsid w:val="7326B751"/>
    <w:rsid w:val="73A2532F"/>
    <w:rsid w:val="7430F0EF"/>
    <w:rsid w:val="749DE43F"/>
    <w:rsid w:val="75DCECEE"/>
    <w:rsid w:val="78C98149"/>
    <w:rsid w:val="78E297AC"/>
    <w:rsid w:val="79487162"/>
    <w:rsid w:val="7A1194B3"/>
    <w:rsid w:val="7B211956"/>
    <w:rsid w:val="7B2B413F"/>
    <w:rsid w:val="7C4DF9F2"/>
    <w:rsid w:val="7CC4D73D"/>
    <w:rsid w:val="7D493575"/>
    <w:rsid w:val="7D5A4813"/>
    <w:rsid w:val="7DF4C0E0"/>
    <w:rsid w:val="7E24BE87"/>
    <w:rsid w:val="7E683FF9"/>
    <w:rsid w:val="7EA3C224"/>
    <w:rsid w:val="7ECA623B"/>
    <w:rsid w:val="7F5CEF1D"/>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36"/>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401136"/>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136"/>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E561FB"/>
    <w:rPr>
      <w:b/>
      <w:bCs/>
    </w:rPr>
  </w:style>
  <w:style w:type="character" w:customStyle="1" w:styleId="CommentSubjectChar">
    <w:name w:val="Comment Subject Char"/>
    <w:basedOn w:val="CommentTextChar"/>
    <w:link w:val="CommentSubject"/>
    <w:uiPriority w:val="99"/>
    <w:semiHidden/>
    <w:rsid w:val="00E56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EBAE9DF0-6C0E-4E6D-A860-3F605E0A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Daniel Loranger</cp:lastModifiedBy>
  <cp:revision>2</cp:revision>
  <dcterms:created xsi:type="dcterms:W3CDTF">2024-10-17T01:32:00Z</dcterms:created>
  <dcterms:modified xsi:type="dcterms:W3CDTF">2024-10-17T01:32:00Z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