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3864"/>
          <w:sz w:val="30"/>
          <w:szCs w:val="30"/>
        </w:rPr>
        <w:t xml:space="preserve">UNIVERSIDAD DEL PACÍFICO</w:t>
      </w:r>
    </w:p>
    <w:p>
      <w:pPr>
        <w:spacing w:after="120" w:before="0"/>
        <w:jc w:val="center"/>
      </w:pPr>
      <w:r>
        <w:rPr>
          <w:rFonts w:ascii="Arial" w:cs="Arial" w:eastAsia="Arial" w:hAnsi="Arial"/>
          <w:b/>
          <w:bCs/>
          <w:color w:val="1F3864"/>
          <w:sz w:val="24"/>
          <w:szCs w:val="24"/>
        </w:rPr>
        <w:t xml:space="preserve">PACÍFICO BUSINESS SCHOOL</w:t>
      </w:r>
    </w:p>
    <w:p>
      <w:pPr>
        <w:spacing w:after="900" w:before="0"/>
        <w:jc w:val="center"/>
      </w:pPr>
      <w:r>
        <w:rPr>
          <w:rFonts w:ascii="Arial" w:cs="Arial" w:eastAsia="Arial" w:hAnsi="Arial"/>
          <w:color w:val="000000"/>
          <w:sz w:val="22"/>
          <w:szCs w:val="22"/>
        </w:rPr>
        <w:t xml:space="preserve">Maestría en Finanzas – Promoción 44</w:t>
      </w:r>
    </w:p>
    <w:p>
      <w:pPr>
        <w:spacing w:after="120" w:before="0"/>
        <w:jc w:val="center"/>
      </w:pPr>
      <w:r>
        <w:rPr>
          <w:rFonts w:ascii="Arial" w:cs="Arial" w:eastAsia="Arial" w:hAnsi="Arial"/>
          <w:color w:val="000000"/>
          <w:sz w:val="22"/>
          <w:szCs w:val="22"/>
        </w:rPr>
        <w:t xml:space="preserve">Curso: Gestión de Derivados Financieros</w:t>
      </w:r>
    </w:p>
    <w:p>
      <w:pPr>
        <w:spacing w:after="900" w:before="0"/>
        <w:jc w:val="center"/>
      </w:pPr>
      <w:r>
        <w:rPr>
          <w:rFonts w:ascii="Arial" w:cs="Arial" w:eastAsia="Arial" w:hAnsi="Arial"/>
          <w:color w:val="000000"/>
          <w:sz w:val="22"/>
          <w:szCs w:val="22"/>
        </w:rPr>
        <w:t xml:space="preserve">Profesor: Alberto Humala</w:t>
      </w:r>
    </w:p>
    <w:p>
      <w:pPr>
        <w:spacing w:after="120" w:before="0"/>
        <w:jc w:val="center"/>
      </w:pPr>
      <w:r>
        <w:rPr>
          <w:rFonts w:ascii="Arial" w:cs="Arial" w:eastAsia="Arial" w:hAnsi="Arial"/>
          <w:b/>
          <w:bCs/>
          <w:color w:val="000000"/>
          <w:sz w:val="28"/>
          <w:szCs w:val="28"/>
        </w:rPr>
        <w:t xml:space="preserve">TRABAJO CALIFICADO</w:t>
      </w:r>
    </w:p>
    <w:p>
      <w:pPr>
        <w:pBdr>
          <w:top w:val="single" w:color="1F3864" w:sz="8" w:space="8"/>
          <w:bottom w:val="single" w:color="1F3864" w:sz="8" w:space="8"/>
        </w:pBdr>
        <w:spacing w:after="120"/>
        <w:jc w:val="center"/>
      </w:pPr>
      <w:r>
        <w:rPr>
          <w:rFonts w:ascii="Arial" w:cs="Arial" w:eastAsia="Arial" w:hAnsi="Arial"/>
          <w:b/>
          <w:bCs/>
          <w:color w:val="1F3864"/>
          <w:sz w:val="30"/>
          <w:szCs w:val="30"/>
        </w:rPr>
        <w:t xml:space="preserve">Gestión de riesgos financieros con instrumentos derivados en Petróleos del Perú – PETROPERÚ S.A.</w:t>
      </w:r>
    </w:p>
    <w:p>
      <w:pPr>
        <w:spacing w:after="1100" w:before="0"/>
        <w:jc w:val="center"/>
      </w:pPr>
      <w:r>
        <w:rPr>
          <w:rFonts w:ascii="Arial" w:cs="Arial" w:eastAsia="Arial" w:hAnsi="Arial"/>
          <w:i/>
          <w:iCs/>
          <w:color w:val="52514E"/>
          <w:sz w:val="22"/>
          <w:szCs w:val="22"/>
        </w:rPr>
        <w:t xml:space="preserve">Informe de la Gerencia Corporativa de Finanzas a la Gerencia General</w:t>
      </w:r>
    </w:p>
    <w:p>
      <w:pPr>
        <w:spacing w:after="120" w:before="0"/>
        <w:jc w:val="center"/>
      </w:pPr>
      <w:r>
        <w:rPr>
          <w:rFonts w:ascii="Arial" w:cs="Arial" w:eastAsia="Arial" w:hAnsi="Arial"/>
          <w:b/>
          <w:bCs/>
          <w:color w:val="000000"/>
          <w:sz w:val="22"/>
          <w:szCs w:val="22"/>
        </w:rPr>
        <w:t xml:space="preserve">Integrantes:</w:t>
      </w:r>
    </w:p>
    <w:p>
      <w:pPr>
        <w:spacing w:after="60" w:before="0"/>
        <w:jc w:val="center"/>
      </w:pPr>
      <w:r>
        <w:rPr>
          <w:rFonts w:ascii="Arial" w:cs="Arial" w:eastAsia="Arial" w:hAnsi="Arial"/>
          <w:color w:val="000000"/>
          <w:sz w:val="22"/>
          <w:szCs w:val="22"/>
        </w:rPr>
        <w:t xml:space="preserve">[Apellidos y nombres – Integrante 1]</w:t>
      </w:r>
    </w:p>
    <w:p>
      <w:pPr>
        <w:spacing w:after="60" w:before="0"/>
        <w:jc w:val="center"/>
      </w:pPr>
      <w:r>
        <w:rPr>
          <w:rFonts w:ascii="Arial" w:cs="Arial" w:eastAsia="Arial" w:hAnsi="Arial"/>
          <w:color w:val="000000"/>
          <w:sz w:val="22"/>
          <w:szCs w:val="22"/>
        </w:rPr>
        <w:t xml:space="preserve">[Apellidos y nombres – Integrante 2]</w:t>
      </w:r>
    </w:p>
    <w:p>
      <w:pPr>
        <w:spacing w:after="60" w:before="0"/>
        <w:jc w:val="center"/>
      </w:pPr>
      <w:r>
        <w:rPr>
          <w:rFonts w:ascii="Arial" w:cs="Arial" w:eastAsia="Arial" w:hAnsi="Arial"/>
          <w:color w:val="000000"/>
          <w:sz w:val="22"/>
          <w:szCs w:val="22"/>
        </w:rPr>
        <w:t xml:space="preserve">[Apellidos y nombres – Integrante 3]</w:t>
      </w:r>
    </w:p>
    <w:p>
      <w:pPr>
        <w:spacing w:after="60" w:before="0"/>
        <w:jc w:val="center"/>
      </w:pPr>
      <w:r>
        <w:rPr>
          <w:rFonts w:ascii="Arial" w:cs="Arial" w:eastAsia="Arial" w:hAnsi="Arial"/>
          <w:color w:val="000000"/>
          <w:sz w:val="22"/>
          <w:szCs w:val="22"/>
        </w:rPr>
        <w:t xml:space="preserve">[Apellidos y nombres – Integrante 4]</w:t>
      </w:r>
    </w:p>
    <w:p>
      <w:pPr>
        <w:spacing w:after="120" w:before="1000"/>
        <w:jc w:val="center"/>
      </w:pPr>
      <w:r>
        <w:rPr>
          <w:rFonts w:ascii="Arial" w:cs="Arial" w:eastAsia="Arial" w:hAnsi="Arial"/>
          <w:color w:val="000000"/>
          <w:sz w:val="22"/>
          <w:szCs w:val="22"/>
        </w:rPr>
        <w:t xml:space="preserve">Lima, 5 de octubre de 2026</w:t>
      </w:r>
    </w:p>
    <w:p>
      <w:r>
        <w:br w:type="page"/>
      </w:r>
    </w:p>
    <w:p>
      <w:pPr>
        <w:keepNext/>
        <w:pBdr>
          <w:bottom w:val="single" w:color="1F3864" w:sz="6" w:space="1"/>
        </w:pBdr>
        <w:spacing w:after="80" w:before="140"/>
      </w:pPr>
      <w:r>
        <w:rPr>
          <w:rFonts w:ascii="Arial" w:cs="Arial" w:eastAsia="Arial" w:hAnsi="Arial"/>
          <w:b/>
          <w:bCs/>
          <w:color w:val="1F3864"/>
          <w:sz w:val="22"/>
          <w:szCs w:val="22"/>
        </w:rPr>
        <w:t xml:space="preserve">I. INTRODUCCIÓN Y OBJETIVO</w:t>
      </w:r>
    </w:p>
    <w:p>
      <w:pPr>
        <w:spacing w:after="80" w:before="0" w:line="276"/>
        <w:jc w:val="both"/>
      </w:pPr>
      <w:r>
        <w:rPr>
          <w:rFonts w:ascii="Arial" w:cs="Arial" w:eastAsia="Arial" w:hAnsi="Arial"/>
          <w:sz w:val="22"/>
          <w:szCs w:val="22"/>
        </w:rPr>
        <w:t xml:space="preserve">PETROPERÚ es la empresa estatal que refina y comercializa combustibles en el Perú: opera las refinerías de Talara (Nueva Refinería Talara, NRT), Iquitos y Conchán, y el Oleoducto Norperuano. Reporta a la SMV y su moneda funcional es el </w:t>
      </w:r>
      <w:r>
        <w:rPr>
          <w:rFonts w:ascii="Arial" w:cs="Arial" w:eastAsia="Arial" w:hAnsi="Arial"/>
          <w:b/>
          <w:bCs/>
          <w:sz w:val="22"/>
          <w:szCs w:val="22"/>
        </w:rPr>
        <w:t xml:space="preserve">dólar estadounidense</w:t>
      </w:r>
      <w:r>
        <w:rPr>
          <w:rFonts w:ascii="Arial" w:cs="Arial" w:eastAsia="Arial" w:hAnsi="Arial"/>
          <w:sz w:val="22"/>
          <w:szCs w:val="22"/>
        </w:rPr>
        <w:t xml:space="preserve">. En 2025 registró ingresos por US$ 3,380.4 MM, una pérdida neta de US$ 601.5 MM (US$ 773.9 MM en 2024) y un capital de trabajo negativo de US$ 2,296.4 MM. Los auditores incluyeron una incertidumbre material sobre la continuidad como empresa en marcha, y S&amp;P rebajó la calificación a B- en diciembre de 2025, con revisión especial negativa (Tabla N.° 1).</w:t>
      </w:r>
    </w:p>
    <w:p>
      <w:pPr>
        <w:spacing w:after="80" w:before="0" w:line="276"/>
        <w:jc w:val="both"/>
      </w:pPr>
      <w:r>
        <w:rPr>
          <w:rFonts w:ascii="Arial" w:cs="Arial" w:eastAsia="Arial" w:hAnsi="Arial"/>
          <w:sz w:val="22"/>
          <w:szCs w:val="22"/>
        </w:rPr>
        <w:t xml:space="preserve">En este contexto, la volatilidad de mercado ya no se puede tratar como un tema secundario: cada dólar que se pierde por tipo de cambio o por la caída del precio del crudo reduce una liquidez que hoy es escasa. La Nota 3 de los estados financieros confirma que </w:t>
      </w:r>
      <w:r>
        <w:rPr>
          <w:rFonts w:ascii="Arial" w:cs="Arial" w:eastAsia="Arial" w:hAnsi="Arial"/>
          <w:b/>
          <w:bCs/>
          <w:sz w:val="22"/>
          <w:szCs w:val="22"/>
        </w:rPr>
        <w:t xml:space="preserve">al 31 de diciembre de 2025 la Compañía no mantiene derivados de cobertura cambiaria y asume ese riesgo</w:t>
      </w:r>
      <w:r>
        <w:rPr>
          <w:rFonts w:ascii="Arial" w:cs="Arial" w:eastAsia="Arial" w:hAnsi="Arial"/>
          <w:sz w:val="22"/>
          <w:szCs w:val="22"/>
        </w:rPr>
        <w:t xml:space="preserve">, y tampoco cubre el precio del crudo, que solo se mitiga en parte con el Fondo de Estabilización de Precios (FEPC).</w:t>
      </w:r>
    </w:p>
    <w:p>
      <w:pPr>
        <w:spacing w:after="80" w:before="0" w:line="276"/>
        <w:jc w:val="both"/>
      </w:pPr>
      <w:r>
        <w:rPr>
          <w:rFonts w:ascii="Arial" w:cs="Arial" w:eastAsia="Arial" w:hAnsi="Arial"/>
          <w:b/>
          <w:bCs/>
          <w:sz w:val="22"/>
          <w:szCs w:val="22"/>
        </w:rPr>
        <w:t xml:space="preserve">Objetivo.</w:t>
      </w:r>
      <w:r>
        <w:rPr>
          <w:rFonts w:ascii="Arial" w:cs="Arial" w:eastAsia="Arial" w:hAnsi="Arial"/>
          <w:sz w:val="22"/>
          <w:szCs w:val="22"/>
        </w:rPr>
        <w:t xml:space="preserve"> Sustentar ante la Gerencia General el uso de instrumentos derivados para gestionar los riesgos financieros identificados en el negocio. Para ello: (i) se identifican y cuantifican los riesgos a partir de los estados financieros auditados 2025; (ii) se diseñan y valorizan dos estrategias que usan derivados de forma intensiva: un </w:t>
      </w:r>
      <w:r>
        <w:rPr>
          <w:rFonts w:ascii="Arial" w:cs="Arial" w:eastAsia="Arial" w:hAnsi="Arial"/>
          <w:b/>
          <w:bCs/>
          <w:sz w:val="22"/>
          <w:szCs w:val="22"/>
        </w:rPr>
        <w:t xml:space="preserve">cross currency swap con forwards sin entrega (NDF)</w:t>
      </w:r>
      <w:r>
        <w:rPr>
          <w:rFonts w:ascii="Arial" w:cs="Arial" w:eastAsia="Arial" w:hAnsi="Arial"/>
          <w:sz w:val="22"/>
          <w:szCs w:val="22"/>
        </w:rPr>
        <w:t xml:space="preserve"> para el riesgo cambiario, y </w:t>
      </w:r>
      <w:r>
        <w:rPr>
          <w:rFonts w:ascii="Arial" w:cs="Arial" w:eastAsia="Arial" w:hAnsi="Arial"/>
          <w:b/>
          <w:bCs/>
          <w:sz w:val="22"/>
          <w:szCs w:val="22"/>
        </w:rPr>
        <w:t xml:space="preserve">swaps y collares de opciones sobre WTI</w:t>
      </w:r>
      <w:r>
        <w:rPr>
          <w:rFonts w:ascii="Arial" w:cs="Arial" w:eastAsia="Arial" w:hAnsi="Arial"/>
          <w:sz w:val="22"/>
          <w:szCs w:val="22"/>
        </w:rPr>
        <w:t xml:space="preserve"> para el riesgo de precio del crudo; y (iii) se proponen las condiciones de implementación. Los parámetros de mercado corresponden al cierre de 2025, la fecha de los estados financieros, y deberán actualizarse al momento de ejecutar las operaciones.</w:t>
      </w:r>
    </w:p>
    <w:p>
      <w:pPr>
        <w:keepNext/>
        <w:spacing w:after="40" w:before="80"/>
        <w:jc w:val="center"/>
      </w:pPr>
      <w:r>
        <w:rPr>
          <w:rFonts w:ascii="Arial" w:cs="Arial" w:eastAsia="Arial" w:hAnsi="Arial"/>
          <w:b/>
          <w:bCs/>
          <w:sz w:val="17"/>
          <w:szCs w:val="17"/>
        </w:rPr>
        <w:t xml:space="preserve">Tabla N.° 1: Indicadores financieros de PETROPERÚ (US$ millones)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3576"/>
        <w:gridCol w:w="1788"/>
        <w:gridCol w:w="1788"/>
        <w:gridCol w:w="1920"/>
      </w:tblGrid>
      <w:tr>
        <w:trPr>
          <w:cantSplit/>
          <w:tblHeader/>
        </w:trPr>
        <w:tc>
          <w:tcPr>
            <w:tcW w:type="dxa" w:w="357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left"/>
            </w:pPr>
            <w:r>
              <w:rPr>
                <w:rFonts w:ascii="Arial" w:cs="Arial" w:eastAsia="Arial" w:hAnsi="Arial"/>
                <w:b/>
                <w:bCs/>
                <w:color w:val="FFFFFF"/>
                <w:sz w:val="17"/>
                <w:szCs w:val="17"/>
              </w:rPr>
              <w:t xml:space="preserve">Indicador</w:t>
            </w:r>
          </w:p>
        </w:tc>
        <w:tc>
          <w:tcPr>
            <w:tcW w:type="dxa" w:w="178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2024</w:t>
            </w:r>
          </w:p>
        </w:tc>
        <w:tc>
          <w:tcPr>
            <w:tcW w:type="dxa" w:w="178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2025</w:t>
            </w:r>
          </w:p>
        </w:tc>
        <w:tc>
          <w:tcPr>
            <w:tcW w:type="dxa" w:w="1920"/>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Comentario</w:t>
            </w:r>
          </w:p>
        </w:tc>
      </w:tr>
      <w:tr>
        <w:trPr>
          <w:cantSplit/>
          <w:tblHeader w:val="false"/>
        </w:trPr>
        <w:tc>
          <w:tcPr>
            <w:tcW w:type="dxa" w:w="3576"/>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Ingresos de actividades ordinarias</w:t>
            </w:r>
          </w:p>
        </w:tc>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3,456.4</w:t>
            </w:r>
          </w:p>
        </w:tc>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3,380.4</w:t>
            </w:r>
          </w:p>
        </w:tc>
        <w:tc>
          <w:tcPr>
            <w:tcW w:type="dxa" w:w="192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Menor precio del crudo</w:t>
            </w:r>
          </w:p>
        </w:tc>
      </w:tr>
      <w:tr>
        <w:trPr>
          <w:cantSplit/>
          <w:tblHeader w:val="false"/>
        </w:trPr>
        <w:tc>
          <w:tcPr>
            <w:tcW w:type="dxa" w:w="3576"/>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Resultado neto</w:t>
            </w:r>
          </w:p>
        </w:tc>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(773.9)</w:t>
            </w:r>
          </w:p>
        </w:tc>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(601.5)</w:t>
            </w:r>
          </w:p>
        </w:tc>
        <w:tc>
          <w:tcPr>
            <w:tcW w:type="dxa" w:w="192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Tercer año de pérdidas</w:t>
            </w:r>
          </w:p>
        </w:tc>
      </w:tr>
      <w:tr>
        <w:trPr>
          <w:cantSplit/>
          <w:tblHeader w:val="false"/>
        </w:trPr>
        <w:tc>
          <w:tcPr>
            <w:tcW w:type="dxa" w:w="3576"/>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Capital de trabajo</w:t>
            </w:r>
          </w:p>
        </w:tc>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(1,900.0)</w:t>
            </w:r>
          </w:p>
        </w:tc>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(2,296.4)</w:t>
            </w:r>
          </w:p>
        </w:tc>
        <w:tc>
          <w:tcPr>
            <w:tcW w:type="dxa" w:w="192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Pasivo corriente &gt; activo corriente</w:t>
            </w:r>
          </w:p>
        </w:tc>
      </w:tr>
      <w:tr>
        <w:trPr>
          <w:cantSplit/>
          <w:tblHeader w:val="false"/>
        </w:trPr>
        <w:tc>
          <w:tcPr>
            <w:tcW w:type="dxa" w:w="3576"/>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Otros pasivos financieros</w:t>
            </w:r>
          </w:p>
        </w:tc>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5,610.7</w:t>
            </w:r>
          </w:p>
        </w:tc>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5,168.8</w:t>
            </w:r>
          </w:p>
        </w:tc>
        <w:tc>
          <w:tcPr>
            <w:tcW w:type="dxa" w:w="192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100% a tasa fija</w:t>
            </w:r>
          </w:p>
        </w:tc>
      </w:tr>
      <w:tr>
        <w:trPr>
          <w:cantSplit/>
          <w:tblHeader w:val="false"/>
        </w:trPr>
        <w:tc>
          <w:tcPr>
            <w:tcW w:type="dxa" w:w="3576"/>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Deuda neta / (Deuda neta + patrimonio)</w:t>
            </w:r>
          </w:p>
        </w:tc>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0.70</w:t>
            </w:r>
          </w:p>
        </w:tc>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0.78</w:t>
            </w:r>
          </w:p>
        </w:tc>
        <w:tc>
          <w:tcPr>
            <w:tcW w:type="dxa" w:w="192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Mayor apalancamiento</w:t>
            </w:r>
          </w:p>
        </w:tc>
      </w:tr>
      <w:tr>
        <w:trPr>
          <w:cantSplit/>
          <w:tblHeader w:val="false"/>
        </w:trPr>
        <w:tc>
          <w:tcPr>
            <w:tcW w:type="dxa" w:w="3576"/>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left"/>
            </w:pPr>
            <w:r>
              <w:rPr>
                <w:rFonts w:ascii="Arial" w:cs="Arial" w:eastAsia="Arial" w:hAnsi="Arial"/>
                <w:color w:val="000000"/>
                <w:sz w:val="17"/>
                <w:szCs w:val="17"/>
              </w:rPr>
              <w:t xml:space="preserve">Calificación internacional (S&amp;P / Moody's / Fitch)</w:t>
            </w:r>
          </w:p>
        </w:tc>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S&amp;P: B</w:t>
            </w:r>
          </w:p>
        </w:tc>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B- / B3 / CCC+</w:t>
            </w:r>
          </w:p>
        </w:tc>
        <w:tc>
          <w:tcPr>
            <w:tcW w:type="dxa" w:w="192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S&amp;P: CreditWatch negativo</w:t>
            </w:r>
          </w:p>
        </w:tc>
      </w:tr>
    </w:tbl>
    <w:p>
      <w:pPr>
        <w:spacing w:after="100" w:before="20"/>
        <w:jc w:val="left"/>
      </w:pPr>
      <w:r>
        <w:rPr>
          <w:rFonts w:ascii="Arial" w:cs="Arial" w:eastAsia="Arial" w:hAnsi="Arial"/>
          <w:color w:val="52514E"/>
          <w:sz w:val="15"/>
          <w:szCs w:val="15"/>
        </w:rPr>
        <w:t xml:space="preserve">Fuente: PETROPERÚ, Estados financieros auditados al 31.12.2025 (Gaveglio, Aparicio y Asociados, 2026), Notas 1, 3, 10, 14 y 28. Elaboración: propia.</w:t>
      </w:r>
    </w:p>
    <w:p>
      <w:pPr>
        <w:keepNext/>
        <w:pBdr>
          <w:bottom w:val="single" w:color="1F3864" w:sz="6" w:space="1"/>
        </w:pBdr>
        <w:spacing w:after="80" w:before="140"/>
      </w:pPr>
      <w:r>
        <w:rPr>
          <w:rFonts w:ascii="Arial" w:cs="Arial" w:eastAsia="Arial" w:hAnsi="Arial"/>
          <w:b/>
          <w:bCs/>
          <w:color w:val="1F3864"/>
          <w:sz w:val="22"/>
          <w:szCs w:val="22"/>
        </w:rPr>
        <w:t xml:space="preserve">II. IDENTIFICACIÓN DE RIESGOS FINANCIEROS</w:t>
      </w:r>
    </w:p>
    <w:p>
      <w:pPr>
        <w:spacing w:after="80" w:before="0" w:line="276"/>
        <w:jc w:val="both"/>
      </w:pPr>
      <w:r>
        <w:rPr>
          <w:rFonts w:ascii="Arial" w:cs="Arial" w:eastAsia="Arial" w:hAnsi="Arial"/>
          <w:sz w:val="22"/>
          <w:szCs w:val="22"/>
        </w:rPr>
        <w:t xml:space="preserve">La Nota 3.1 clasifica la exposición de PETROPERÚ en riesgos de mercado (tipo de cambio, tasa de interés y precio del crudo), riesgo de crédito y riesgo de liquidez. La Tabla N.° 2 resume la magnitud de cada uno y si puede gestionarse eficientemente con derivados.</w:t>
      </w:r>
    </w:p>
    <w:p>
      <w:pPr>
        <w:keepNext/>
        <w:spacing w:after="40" w:before="80"/>
        <w:jc w:val="center"/>
      </w:pPr>
      <w:r>
        <w:rPr>
          <w:rFonts w:ascii="Arial" w:cs="Arial" w:eastAsia="Arial" w:hAnsi="Arial"/>
          <w:b/>
          <w:bCs/>
          <w:sz w:val="17"/>
          <w:szCs w:val="17"/>
        </w:rPr>
        <w:t xml:space="preserve">Tabla N.° 2: Matriz de riesgos financieros de PETROPERÚ al 31.12.2025</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411"/>
        <w:gridCol w:w="3106"/>
        <w:gridCol w:w="2259"/>
        <w:gridCol w:w="1223"/>
        <w:gridCol w:w="1073"/>
      </w:tblGrid>
      <w:tr>
        <w:trPr>
          <w:cantSplit/>
          <w:tblHeader/>
        </w:trPr>
        <w:tc>
          <w:tcPr>
            <w:tcW w:type="dxa" w:w="141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val="false"/>
              <w:keepLines/>
              <w:spacing w:after="0" w:line="228"/>
              <w:jc w:val="left"/>
            </w:pPr>
            <w:r>
              <w:rPr>
                <w:rFonts w:ascii="Arial" w:cs="Arial" w:eastAsia="Arial" w:hAnsi="Arial"/>
                <w:b/>
                <w:bCs/>
                <w:color w:val="FFFFFF"/>
                <w:sz w:val="17"/>
                <w:szCs w:val="17"/>
              </w:rPr>
              <w:t xml:space="preserve">Riesgo</w:t>
            </w:r>
          </w:p>
        </w:tc>
        <w:tc>
          <w:tcPr>
            <w:tcW w:type="dxa" w:w="31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val="false"/>
              <w:keepLines/>
              <w:spacing w:after="0" w:line="228"/>
              <w:jc w:val="center"/>
            </w:pPr>
            <w:r>
              <w:rPr>
                <w:rFonts w:ascii="Arial" w:cs="Arial" w:eastAsia="Arial" w:hAnsi="Arial"/>
                <w:b/>
                <w:bCs/>
                <w:color w:val="FFFFFF"/>
                <w:sz w:val="17"/>
                <w:szCs w:val="17"/>
              </w:rPr>
              <w:t xml:space="preserve">Fuente de la exposición</w:t>
            </w:r>
          </w:p>
        </w:tc>
        <w:tc>
          <w:tcPr>
            <w:tcW w:type="dxa" w:w="225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val="false"/>
              <w:keepLines/>
              <w:spacing w:after="0" w:line="228"/>
              <w:jc w:val="center"/>
            </w:pPr>
            <w:r>
              <w:rPr>
                <w:rFonts w:ascii="Arial" w:cs="Arial" w:eastAsia="Arial" w:hAnsi="Arial"/>
                <w:b/>
                <w:bCs/>
                <w:color w:val="FFFFFF"/>
                <w:sz w:val="17"/>
                <w:szCs w:val="17"/>
              </w:rPr>
              <w:t xml:space="preserve">Magnitud</w:t>
            </w:r>
          </w:p>
        </w:tc>
        <w:tc>
          <w:tcPr>
            <w:tcW w:type="dxa" w:w="1223"/>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val="false"/>
              <w:keepLines/>
              <w:spacing w:after="0" w:line="228"/>
              <w:jc w:val="center"/>
            </w:pPr>
            <w:r>
              <w:rPr>
                <w:rFonts w:ascii="Arial" w:cs="Arial" w:eastAsia="Arial" w:hAnsi="Arial"/>
                <w:b/>
                <w:bCs/>
                <w:color w:val="FFFFFF"/>
                <w:sz w:val="17"/>
                <w:szCs w:val="17"/>
              </w:rPr>
              <w:t xml:space="preserve">¿Cubrible con derivados?</w:t>
            </w:r>
          </w:p>
        </w:tc>
        <w:tc>
          <w:tcPr>
            <w:tcW w:type="dxa" w:w="1073"/>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val="false"/>
              <w:keepLines/>
              <w:spacing w:after="0" w:line="228"/>
              <w:jc w:val="center"/>
            </w:pPr>
            <w:r>
              <w:rPr>
                <w:rFonts w:ascii="Arial" w:cs="Arial" w:eastAsia="Arial" w:hAnsi="Arial"/>
                <w:b/>
                <w:bCs/>
                <w:color w:val="FFFFFF"/>
                <w:sz w:val="17"/>
                <w:szCs w:val="17"/>
              </w:rPr>
              <w:t xml:space="preserve">Prioridad</w:t>
            </w:r>
          </w:p>
        </w:tc>
      </w:tr>
      <w:tr>
        <w:trPr>
          <w:cantSplit/>
          <w:tblHeader w:val="false"/>
        </w:trPr>
        <w:tc>
          <w:tcPr>
            <w:tcW w:type="dxa" w:w="1411"/>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left"/>
            </w:pPr>
            <w:r>
              <w:rPr>
                <w:rFonts w:ascii="Arial" w:cs="Arial" w:eastAsia="Arial" w:hAnsi="Arial"/>
                <w:color w:val="000000"/>
                <w:sz w:val="17"/>
                <w:szCs w:val="17"/>
              </w:rPr>
              <w:t xml:space="preserve">Tipo de cambio (PEN)</w:t>
            </w:r>
          </w:p>
        </w:tc>
        <w:tc>
          <w:tcPr>
            <w:tcW w:type="dxa" w:w="3106"/>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Posición pasiva neta en soles: préstamo del Banco de la Nación (BN) y cuentas por pagar</w:t>
            </w:r>
          </w:p>
        </w:tc>
        <w:tc>
          <w:tcPr>
            <w:tcW w:type="dxa" w:w="2259"/>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S/ 4,704.0 MM; ±10% en el TC = ±US$ 139.7 MM</w:t>
            </w:r>
          </w:p>
        </w:tc>
        <w:tc>
          <w:tcPr>
            <w:tcW w:type="dxa" w:w="122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Sí: CCS, NDF</w:t>
            </w:r>
          </w:p>
        </w:tc>
        <w:tc>
          <w:tcPr>
            <w:tcW w:type="dxa" w:w="107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Alta</w:t>
            </w:r>
          </w:p>
        </w:tc>
      </w:tr>
      <w:tr>
        <w:trPr>
          <w:cantSplit/>
          <w:tblHeader w:val="false"/>
        </w:trPr>
        <w:tc>
          <w:tcPr>
            <w:tcW w:type="dxa" w:w="1411"/>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left"/>
            </w:pPr>
            <w:r>
              <w:rPr>
                <w:rFonts w:ascii="Arial" w:cs="Arial" w:eastAsia="Arial" w:hAnsi="Arial"/>
                <w:color w:val="000000"/>
                <w:sz w:val="17"/>
                <w:szCs w:val="17"/>
              </w:rPr>
              <w:t xml:space="preserve">Precio del crudo</w:t>
            </w:r>
          </w:p>
        </w:tc>
        <w:tc>
          <w:tcPr>
            <w:tcW w:type="dxa" w:w="3106"/>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Compras de 87 MBDC a US$ 78.66/bl en promedio; inventario de 2,901 MBL</w:t>
            </w:r>
          </w:p>
        </w:tc>
        <w:tc>
          <w:tcPr>
            <w:tcW w:type="dxa" w:w="2259"/>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Compras US$ 2,490 MM; −20% en el WTI = −US$ 33 MM en inventario</w:t>
            </w:r>
          </w:p>
        </w:tc>
        <w:tc>
          <w:tcPr>
            <w:tcW w:type="dxa" w:w="122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Sí: swaps, opciones</w:t>
            </w:r>
          </w:p>
        </w:tc>
        <w:tc>
          <w:tcPr>
            <w:tcW w:type="dxa" w:w="107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Alta</w:t>
            </w:r>
          </w:p>
        </w:tc>
      </w:tr>
      <w:tr>
        <w:trPr>
          <w:cantSplit/>
          <w:tblHeader w:val="false"/>
        </w:trPr>
        <w:tc>
          <w:tcPr>
            <w:tcW w:type="dxa" w:w="1411"/>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left"/>
            </w:pPr>
            <w:r>
              <w:rPr>
                <w:rFonts w:ascii="Arial" w:cs="Arial" w:eastAsia="Arial" w:hAnsi="Arial"/>
                <w:color w:val="000000"/>
                <w:sz w:val="17"/>
                <w:szCs w:val="17"/>
              </w:rPr>
              <w:t xml:space="preserve">Tasa de interés</w:t>
            </w:r>
          </w:p>
        </w:tc>
        <w:tc>
          <w:tcPr>
            <w:tcW w:type="dxa" w:w="3106"/>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Deuda 100% a tasa fija; refinanciación del CESCE y de líneas de corto plazo</w:t>
            </w:r>
          </w:p>
        </w:tc>
        <w:tc>
          <w:tcPr>
            <w:tcW w:type="dxa" w:w="2259"/>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Valor razonable de bonos US$ 2,030 MM frente a US$ 3,096 MM en libros</w:t>
            </w:r>
          </w:p>
        </w:tc>
        <w:tc>
          <w:tcPr>
            <w:tcW w:type="dxa" w:w="122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Parcial: la tasa base sí, el spread no</w:t>
            </w:r>
          </w:p>
        </w:tc>
        <w:tc>
          <w:tcPr>
            <w:tcW w:type="dxa" w:w="107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Media</w:t>
            </w:r>
          </w:p>
        </w:tc>
      </w:tr>
      <w:tr>
        <w:trPr>
          <w:cantSplit/>
          <w:tblHeader w:val="false"/>
        </w:trPr>
        <w:tc>
          <w:tcPr>
            <w:tcW w:type="dxa" w:w="1411"/>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left"/>
            </w:pPr>
            <w:r>
              <w:rPr>
                <w:rFonts w:ascii="Arial" w:cs="Arial" w:eastAsia="Arial" w:hAnsi="Arial"/>
                <w:color w:val="000000"/>
                <w:sz w:val="17"/>
                <w:szCs w:val="17"/>
              </w:rPr>
              <w:t xml:space="preserve">Liquidez</w:t>
            </w:r>
          </w:p>
        </w:tc>
        <w:tc>
          <w:tcPr>
            <w:tcW w:type="dxa" w:w="3106"/>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Capital de trabajo negativo; líneas usadas al 94%</w:t>
            </w:r>
          </w:p>
        </w:tc>
        <w:tc>
          <w:tcPr>
            <w:tcW w:type="dxa" w:w="2259"/>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US$ 3,163 MM en flujos a menos de 1 año</w:t>
            </w:r>
          </w:p>
        </w:tc>
        <w:tc>
          <w:tcPr>
            <w:tcW w:type="dxa" w:w="122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No (condiciona el diseño)</w:t>
            </w:r>
          </w:p>
        </w:tc>
        <w:tc>
          <w:tcPr>
            <w:tcW w:type="dxa" w:w="107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Restricción</w:t>
            </w:r>
          </w:p>
        </w:tc>
      </w:tr>
      <w:tr>
        <w:trPr>
          <w:cantSplit/>
          <w:tblHeader w:val="false"/>
        </w:trPr>
        <w:tc>
          <w:tcPr>
            <w:tcW w:type="dxa" w:w="1411"/>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left"/>
            </w:pPr>
            <w:r>
              <w:rPr>
                <w:rFonts w:ascii="Arial" w:cs="Arial" w:eastAsia="Arial" w:hAnsi="Arial"/>
                <w:color w:val="000000"/>
                <w:sz w:val="17"/>
                <w:szCs w:val="17"/>
              </w:rPr>
              <w:t xml:space="preserve">Crédito</w:t>
            </w:r>
          </w:p>
        </w:tc>
        <w:tc>
          <w:tcPr>
            <w:tcW w:type="dxa" w:w="3106"/>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Clientes mayoristas y entidades del Estado</w:t>
            </w:r>
          </w:p>
        </w:tc>
        <w:tc>
          <w:tcPr>
            <w:tcW w:type="dxa" w:w="2259"/>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CxC comerciales en S/ 482.3 MM</w:t>
            </w:r>
          </w:p>
        </w:tc>
        <w:tc>
          <w:tcPr>
            <w:tcW w:type="dxa" w:w="122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No es necesario</w:t>
            </w:r>
          </w:p>
        </w:tc>
        <w:tc>
          <w:tcPr>
            <w:tcW w:type="dxa" w:w="107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Baja</w:t>
            </w:r>
          </w:p>
        </w:tc>
      </w:tr>
    </w:tbl>
    <w:p>
      <w:pPr>
        <w:spacing w:after="100" w:before="20"/>
        <w:jc w:val="left"/>
      </w:pPr>
      <w:r>
        <w:rPr>
          <w:rFonts w:ascii="Arial" w:cs="Arial" w:eastAsia="Arial" w:hAnsi="Arial"/>
          <w:color w:val="52514E"/>
          <w:sz w:val="15"/>
          <w:szCs w:val="15"/>
        </w:rPr>
        <w:t xml:space="preserve">Fuente: PETROPERÚ, Estados financieros auditados al 31.12.2025 (Gaveglio, Aparicio y Asociados, 2026), Notas 1, 3, 10, 14 y 28. Elaboración: propia.</w:t>
      </w:r>
    </w:p>
    <w:p>
      <w:pPr>
        <w:keepNext/>
        <w:spacing w:after="60" w:before="100"/>
      </w:pPr>
      <w:r>
        <w:rPr>
          <w:rFonts w:ascii="Arial" w:cs="Arial" w:eastAsia="Arial" w:hAnsi="Arial"/>
          <w:b/>
          <w:bCs/>
          <w:color w:val="1F3864"/>
          <w:sz w:val="20"/>
          <w:szCs w:val="20"/>
        </w:rPr>
        <w:t xml:space="preserve">A. Riesgo de tipo de cambio</w:t>
      </w:r>
    </w:p>
    <w:p>
      <w:pPr>
        <w:spacing w:after="80" w:before="0" w:line="276"/>
        <w:jc w:val="both"/>
      </w:pPr>
      <w:r>
        <w:rPr>
          <w:rFonts w:ascii="Arial" w:cs="Arial" w:eastAsia="Arial" w:hAnsi="Arial"/>
          <w:sz w:val="22"/>
          <w:szCs w:val="22"/>
        </w:rPr>
        <w:t xml:space="preserve">Como la contabilidad está en dólares, el riesgo surge de las partidas en soles, euros y yenes. La exposición relevante es en soles: una </w:t>
      </w:r>
      <w:r>
        <w:rPr>
          <w:rFonts w:ascii="Arial" w:cs="Arial" w:eastAsia="Arial" w:hAnsi="Arial"/>
          <w:b/>
          <w:bCs/>
          <w:sz w:val="22"/>
          <w:szCs w:val="22"/>
        </w:rPr>
        <w:t xml:space="preserve">posición pasiva neta de S/ 4,704.0 MM</w:t>
      </w:r>
      <w:r>
        <w:rPr>
          <w:rFonts w:ascii="Arial" w:cs="Arial" w:eastAsia="Arial" w:hAnsi="Arial"/>
          <w:sz w:val="22"/>
          <w:szCs w:val="22"/>
        </w:rPr>
        <w:t xml:space="preserve"> (≈ US$ 1,397 MM al TC de 3.367), 21% mayor que la de 2024 (S/ 3,880.1 MM). La concentra el rubro “otros pasivos financieros” (S/ 3,824.5 MM), que incluye el </w:t>
      </w:r>
      <w:r>
        <w:rPr>
          <w:rFonts w:ascii="Arial" w:cs="Arial" w:eastAsia="Arial" w:hAnsi="Arial"/>
          <w:b/>
          <w:bCs/>
          <w:sz w:val="22"/>
          <w:szCs w:val="22"/>
        </w:rPr>
        <w:t xml:space="preserve">préstamo del Banco de la Nación con garantía soberana por S/ 3,765.6 MM</w:t>
      </w:r>
      <w:r>
        <w:rPr>
          <w:rFonts w:ascii="Arial" w:cs="Arial" w:eastAsia="Arial" w:hAnsi="Arial"/>
          <w:sz w:val="22"/>
          <w:szCs w:val="22"/>
        </w:rPr>
        <w:t xml:space="preserve"> (5.55%, 46 cuotas mensuales hasta diciembre de 2028). Las posiciones en euros (activa por EUR 95.6 MM) y yenes (pasiva por JPY 50.5 MM) tienen un impacto que la Gerencia considera no significativo (Tabla N.° 3 y Figura N.° 1).</w:t>
      </w:r>
    </w:p>
    <w:p>
      <w:pPr>
        <w:keepNext/>
        <w:spacing w:after="40" w:before="80"/>
        <w:jc w:val="center"/>
      </w:pPr>
      <w:r>
        <w:rPr>
          <w:rFonts w:ascii="Arial" w:cs="Arial" w:eastAsia="Arial" w:hAnsi="Arial"/>
          <w:b/>
          <w:bCs/>
          <w:sz w:val="17"/>
          <w:szCs w:val="17"/>
        </w:rPr>
        <w:t xml:space="preserve">Tabla N.° 3: Posición en moneda extranjera y sensibilidad (en miles de cada moneda)</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3070"/>
        <w:gridCol w:w="1108"/>
        <w:gridCol w:w="938"/>
        <w:gridCol w:w="938"/>
        <w:gridCol w:w="1108"/>
        <w:gridCol w:w="938"/>
        <w:gridCol w:w="972"/>
      </w:tblGrid>
      <w:tr>
        <w:trPr>
          <w:cantSplit/>
          <w:tblHeader/>
        </w:trPr>
        <w:tc>
          <w:tcPr>
            <w:tcW w:type="dxa" w:w="3070"/>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left"/>
            </w:pPr>
            <w:r>
              <w:rPr>
                <w:rFonts w:ascii="Arial" w:cs="Arial" w:eastAsia="Arial" w:hAnsi="Arial"/>
                <w:b/>
                <w:bCs/>
                <w:color w:val="FFFFFF"/>
                <w:sz w:val="17"/>
                <w:szCs w:val="17"/>
              </w:rPr>
              <w:t xml:space="preserve">Partida</w:t>
            </w:r>
          </w:p>
        </w:tc>
        <w:tc>
          <w:tcPr>
            <w:tcW w:type="dxa" w:w="110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S/ 2025</w:t>
            </w:r>
          </w:p>
        </w:tc>
        <w:tc>
          <w:tcPr>
            <w:tcW w:type="dxa" w:w="93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EUR 2025</w:t>
            </w:r>
          </w:p>
        </w:tc>
        <w:tc>
          <w:tcPr>
            <w:tcW w:type="dxa" w:w="93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JPY 2025</w:t>
            </w:r>
          </w:p>
        </w:tc>
        <w:tc>
          <w:tcPr>
            <w:tcW w:type="dxa" w:w="110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S/ 2024</w:t>
            </w:r>
          </w:p>
        </w:tc>
        <w:tc>
          <w:tcPr>
            <w:tcW w:type="dxa" w:w="93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EUR 2024</w:t>
            </w:r>
          </w:p>
        </w:tc>
        <w:tc>
          <w:tcPr>
            <w:tcW w:type="dxa" w:w="97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JPY 2024</w:t>
            </w:r>
          </w:p>
        </w:tc>
      </w:tr>
      <w:tr>
        <w:trPr>
          <w:cantSplit/>
          <w:tblHeader w:val="false"/>
        </w:trPr>
        <w:tc>
          <w:tcPr>
            <w:tcW w:type="dxa" w:w="307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b w:val="false"/>
                <w:bCs w:val="false"/>
                <w:color w:val="000000"/>
                <w:sz w:val="17"/>
                <w:szCs w:val="17"/>
              </w:rPr>
              <w:t xml:space="preserve">Activos en moneda extranjera</w:t>
            </w:r>
          </w:p>
        </w:tc>
        <w:tc>
          <w:tcPr>
            <w:tcW w:type="dxa" w:w="110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990,998</w:t>
            </w:r>
          </w:p>
        </w:tc>
        <w:tc>
          <w:tcPr>
            <w:tcW w:type="dxa" w:w="93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102,814</w:t>
            </w:r>
          </w:p>
        </w:tc>
        <w:tc>
          <w:tcPr>
            <w:tcW w:type="dxa" w:w="93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w:t>
            </w:r>
          </w:p>
        </w:tc>
        <w:tc>
          <w:tcPr>
            <w:tcW w:type="dxa" w:w="110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1,366,143</w:t>
            </w:r>
          </w:p>
        </w:tc>
        <w:tc>
          <w:tcPr>
            <w:tcW w:type="dxa" w:w="93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w:t>
            </w:r>
          </w:p>
        </w:tc>
        <w:tc>
          <w:tcPr>
            <w:tcW w:type="dxa" w:w="972"/>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w:t>
            </w:r>
          </w:p>
        </w:tc>
      </w:tr>
      <w:tr>
        <w:trPr>
          <w:cantSplit/>
          <w:tblHeader w:val="false"/>
        </w:trPr>
        <w:tc>
          <w:tcPr>
            <w:tcW w:type="dxa" w:w="307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b w:val="false"/>
                <w:bCs w:val="false"/>
                <w:color w:val="000000"/>
                <w:sz w:val="17"/>
                <w:szCs w:val="17"/>
              </w:rPr>
              <w:t xml:space="preserve">Pasivos en moneda extranjera</w:t>
            </w:r>
          </w:p>
        </w:tc>
        <w:tc>
          <w:tcPr>
            <w:tcW w:type="dxa" w:w="110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(5,695,011)</w:t>
            </w:r>
          </w:p>
        </w:tc>
        <w:tc>
          <w:tcPr>
            <w:tcW w:type="dxa" w:w="93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(7,178)</w:t>
            </w:r>
          </w:p>
        </w:tc>
        <w:tc>
          <w:tcPr>
            <w:tcW w:type="dxa" w:w="93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(50,510)</w:t>
            </w:r>
          </w:p>
        </w:tc>
        <w:tc>
          <w:tcPr>
            <w:tcW w:type="dxa" w:w="110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(5,246,225)</w:t>
            </w:r>
          </w:p>
        </w:tc>
        <w:tc>
          <w:tcPr>
            <w:tcW w:type="dxa" w:w="93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(7,400)</w:t>
            </w:r>
          </w:p>
        </w:tc>
        <w:tc>
          <w:tcPr>
            <w:tcW w:type="dxa" w:w="972"/>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(230,523)</w:t>
            </w:r>
          </w:p>
        </w:tc>
      </w:tr>
      <w:tr>
        <w:trPr>
          <w:cantSplit/>
          <w:tblHeader w:val="false"/>
        </w:trPr>
        <w:tc>
          <w:tcPr>
            <w:tcW w:type="dxa" w:w="3070"/>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keepLines/>
              <w:spacing w:after="0" w:line="228"/>
              <w:jc w:val="left"/>
            </w:pPr>
            <w:r>
              <w:rPr>
                <w:rFonts w:ascii="Arial" w:cs="Arial" w:eastAsia="Arial" w:hAnsi="Arial"/>
                <w:b/>
                <w:bCs/>
                <w:color w:val="000000"/>
                <w:sz w:val="17"/>
                <w:szCs w:val="17"/>
              </w:rPr>
              <w:t xml:space="preserve">Exposición activa (pasiva) neta</w:t>
            </w:r>
          </w:p>
        </w:tc>
        <w:tc>
          <w:tcPr>
            <w:tcW w:type="dxa" w:w="1108"/>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000000"/>
                <w:sz w:val="17"/>
                <w:szCs w:val="17"/>
              </w:rPr>
              <w:t xml:space="preserve">(4,704,013)</w:t>
            </w:r>
          </w:p>
        </w:tc>
        <w:tc>
          <w:tcPr>
            <w:tcW w:type="dxa" w:w="938"/>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000000"/>
                <w:sz w:val="17"/>
                <w:szCs w:val="17"/>
              </w:rPr>
              <w:t xml:space="preserve">95,636</w:t>
            </w:r>
          </w:p>
        </w:tc>
        <w:tc>
          <w:tcPr>
            <w:tcW w:type="dxa" w:w="938"/>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000000"/>
                <w:sz w:val="17"/>
                <w:szCs w:val="17"/>
              </w:rPr>
              <w:t xml:space="preserve">(50,510)</w:t>
            </w:r>
          </w:p>
        </w:tc>
        <w:tc>
          <w:tcPr>
            <w:tcW w:type="dxa" w:w="1108"/>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000000"/>
                <w:sz w:val="17"/>
                <w:szCs w:val="17"/>
              </w:rPr>
              <w:t xml:space="preserve">(3,880,082)</w:t>
            </w:r>
          </w:p>
        </w:tc>
        <w:tc>
          <w:tcPr>
            <w:tcW w:type="dxa" w:w="938"/>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000000"/>
                <w:sz w:val="17"/>
                <w:szCs w:val="17"/>
              </w:rPr>
              <w:t xml:space="preserve">(7,400)</w:t>
            </w:r>
          </w:p>
        </w:tc>
        <w:tc>
          <w:tcPr>
            <w:tcW w:type="dxa" w:w="972"/>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000000"/>
                <w:sz w:val="17"/>
                <w:szCs w:val="17"/>
              </w:rPr>
              <w:t xml:space="preserve">(230,523)</w:t>
            </w:r>
          </w:p>
        </w:tc>
      </w:tr>
      <w:tr>
        <w:trPr>
          <w:cantSplit/>
          <w:tblHeader w:val="false"/>
        </w:trPr>
        <w:tc>
          <w:tcPr>
            <w:tcW w:type="dxa" w:w="307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left"/>
            </w:pPr>
            <w:r>
              <w:rPr>
                <w:rFonts w:ascii="Arial" w:cs="Arial" w:eastAsia="Arial" w:hAnsi="Arial"/>
                <w:b w:val="false"/>
                <w:bCs w:val="false"/>
                <w:color w:val="000000"/>
                <w:sz w:val="17"/>
                <w:szCs w:val="17"/>
              </w:rPr>
              <w:t xml:space="preserve">Efecto de ±10% US$/S/ en el resultado (US$ 000)</w:t>
            </w:r>
          </w:p>
        </w:tc>
        <w:tc>
          <w:tcPr>
            <w:tcW w:type="dxa" w:w="110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b w:val="false"/>
                <w:bCs w:val="false"/>
                <w:color w:val="000000"/>
                <w:sz w:val="17"/>
                <w:szCs w:val="17"/>
              </w:rPr>
              <w:t xml:space="preserve">±139,709</w:t>
            </w:r>
          </w:p>
        </w:tc>
        <w:tc>
          <w:tcPr>
            <w:tcW w:type="dxa" w:w="93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b w:val="false"/>
                <w:bCs w:val="false"/>
                <w:color w:val="000000"/>
                <w:sz w:val="17"/>
                <w:szCs w:val="17"/>
              </w:rPr>
              <w:t xml:space="preserve">n.s.</w:t>
            </w:r>
          </w:p>
        </w:tc>
        <w:tc>
          <w:tcPr>
            <w:tcW w:type="dxa" w:w="93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b w:val="false"/>
                <w:bCs w:val="false"/>
                <w:color w:val="000000"/>
                <w:sz w:val="17"/>
                <w:szCs w:val="17"/>
              </w:rPr>
              <w:t xml:space="preserve">n.s.</w:t>
            </w:r>
          </w:p>
        </w:tc>
        <w:tc>
          <w:tcPr>
            <w:tcW w:type="dxa" w:w="110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b w:val="false"/>
                <w:bCs w:val="false"/>
                <w:color w:val="000000"/>
                <w:sz w:val="17"/>
                <w:szCs w:val="17"/>
              </w:rPr>
              <w:t xml:space="preserve">±102,822</w:t>
            </w:r>
          </w:p>
        </w:tc>
        <w:tc>
          <w:tcPr>
            <w:tcW w:type="dxa" w:w="93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b w:val="false"/>
                <w:bCs w:val="false"/>
                <w:color w:val="000000"/>
                <w:sz w:val="17"/>
                <w:szCs w:val="17"/>
              </w:rPr>
              <w:t xml:space="preserve">n.s.</w:t>
            </w:r>
          </w:p>
        </w:tc>
        <w:tc>
          <w:tcPr>
            <w:tcW w:type="dxa" w:w="972"/>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b w:val="false"/>
                <w:bCs w:val="false"/>
                <w:color w:val="000000"/>
                <w:sz w:val="17"/>
                <w:szCs w:val="17"/>
              </w:rPr>
              <w:t xml:space="preserve">n.s.</w:t>
            </w:r>
          </w:p>
        </w:tc>
      </w:tr>
    </w:tbl>
    <w:p>
      <w:pPr>
        <w:spacing w:after="100" w:before="20"/>
        <w:jc w:val="left"/>
      </w:pPr>
      <w:r>
        <w:rPr>
          <w:rFonts w:ascii="Arial" w:cs="Arial" w:eastAsia="Arial" w:hAnsi="Arial"/>
          <w:color w:val="52514E"/>
          <w:sz w:val="15"/>
          <w:szCs w:val="15"/>
        </w:rPr>
        <w:t xml:space="preserve">Nota: n.s. = no significativo según la Gerencia (sensibilidad ±5%). Fuente: PETROPERÚ, Estados financieros auditados al 31.12.2025 (Gaveglio, Aparicio y Asociados, 2026), Notas 1, 3, 10, 14 y 28. Elaboración: propia.</w:t>
      </w:r>
    </w:p>
    <w:p>
      <w:pPr>
        <w:keepNext/>
        <w:spacing w:after="0"/>
        <w:jc w:val="center"/>
      </w:pPr>
      <w:r>
        <w:drawing>
          <wp:inline distT="0" distB="0" distL="0" distR="0">
            <wp:extent cx="5760720" cy="2157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157984"/>
                    </a:xfrm>
                    <a:prstGeom prst="rect">
                      <a:avLst/>
                    </a:prstGeom>
                  </pic:spPr>
                </pic:pic>
              </a:graphicData>
            </a:graphic>
          </wp:inline>
        </w:drawing>
      </w:r>
    </w:p>
    <w:p>
      <w:pPr>
        <w:keepNext/>
        <w:spacing w:after="40" w:before="80"/>
        <w:jc w:val="center"/>
      </w:pPr>
      <w:r>
        <w:rPr>
          <w:rFonts w:ascii="Arial" w:cs="Arial" w:eastAsia="Arial" w:hAnsi="Arial"/>
          <w:b/>
          <w:bCs/>
          <w:sz w:val="17"/>
          <w:szCs w:val="17"/>
        </w:rPr>
        <w:t xml:space="preserve">Figura N.° 1: Composición de la posición en soles al 31.12.2025 (S/ millones)</w:t>
      </w:r>
    </w:p>
    <w:p>
      <w:pPr>
        <w:spacing w:after="100" w:before="20"/>
        <w:jc w:val="left"/>
      </w:pPr>
      <w:r>
        <w:rPr>
          <w:rFonts w:ascii="Arial" w:cs="Arial" w:eastAsia="Arial" w:hAnsi="Arial"/>
          <w:color w:val="52514E"/>
          <w:sz w:val="15"/>
          <w:szCs w:val="15"/>
        </w:rPr>
        <w:t xml:space="preserve">Fuente: PETROPERÚ, Estados financieros auditados al 31.12.2025 (Gaveglio, Aparicio y Asociados, 2026), Notas 1, 3, 10, 14 y 28. Elaboración: propia.</w:t>
      </w:r>
    </w:p>
    <w:p>
      <w:pPr>
        <w:spacing w:after="80" w:before="0" w:line="276"/>
        <w:jc w:val="both"/>
      </w:pPr>
      <w:r>
        <w:rPr>
          <w:rFonts w:ascii="Arial" w:cs="Arial" w:eastAsia="Arial" w:hAnsi="Arial"/>
          <w:sz w:val="22"/>
          <w:szCs w:val="22"/>
        </w:rPr>
        <w:t xml:space="preserve">El riesgo ya se materializó. En 2025 el tipo de cambio bajó 9.9%, es decir, el sol se apreció (Figura N.° 2), y la diferencia de cambio aumentó el saldo en dólares del préstamo del BN en </w:t>
      </w:r>
      <w:r>
        <w:rPr>
          <w:rFonts w:ascii="Arial" w:cs="Arial" w:eastAsia="Arial" w:hAnsi="Arial"/>
          <w:b/>
          <w:bCs/>
          <w:sz w:val="22"/>
          <w:szCs w:val="22"/>
        </w:rPr>
        <w:t xml:space="preserve">US$ 119.3 MM</w:t>
      </w:r>
      <w:r>
        <w:rPr>
          <w:rFonts w:ascii="Arial" w:cs="Arial" w:eastAsia="Arial" w:hAnsi="Arial"/>
          <w:sz w:val="22"/>
          <w:szCs w:val="22"/>
        </w:rPr>
        <w:t xml:space="preserve"> (Nota 14-c), aunque en el agregado la Compañía reportó una ganancia cambiaria neta de US$ 13.4 MM. La propia Compañía estima que un movimiento de ±10% del dólar frente al sol afecta el resultado antes de impuestos en </w:t>
      </w:r>
      <w:r>
        <w:rPr>
          <w:rFonts w:ascii="Arial" w:cs="Arial" w:eastAsia="Arial" w:hAnsi="Arial"/>
          <w:b/>
          <w:bCs/>
          <w:sz w:val="22"/>
          <w:szCs w:val="22"/>
        </w:rPr>
        <w:t xml:space="preserve">±US$ 139.7 MM</w:t>
      </w:r>
      <w:r>
        <w:rPr>
          <w:rFonts w:ascii="Arial" w:cs="Arial" w:eastAsia="Arial" w:hAnsi="Arial"/>
          <w:sz w:val="22"/>
          <w:szCs w:val="22"/>
        </w:rPr>
        <w:t xml:space="preserve">. Nuestro cálculo independiente (−US$ 155.4 MM si el sol se aprecia 10% y +US$ 125.7 MM si se deprecia 10%; promedio de US$ 140.6 MM) coincide con esa cifra. Además, el descalce no es solo contable: aunque las ventas locales se facturan en soles, sus precios siguen el </w:t>
      </w:r>
      <w:r>
        <w:rPr>
          <w:rFonts w:ascii="Arial" w:cs="Arial" w:eastAsia="Arial" w:hAnsi="Arial"/>
          <w:b/>
          <w:bCs/>
          <w:sz w:val="22"/>
          <w:szCs w:val="22"/>
        </w:rPr>
        <w:t xml:space="preserve">Precio de Paridad de Importación en dólares</w:t>
      </w:r>
      <w:r>
        <w:rPr>
          <w:rFonts w:ascii="Arial" w:cs="Arial" w:eastAsia="Arial" w:hAnsi="Arial"/>
          <w:sz w:val="22"/>
          <w:szCs w:val="22"/>
        </w:rPr>
        <w:t xml:space="preserve"> (Nota 1-c), por lo que económicamente son flujos en dólares que no cubren de forma natural una deuda en soles a tasa fija.</w:t>
      </w:r>
    </w:p>
    <w:p>
      <w:pPr>
        <w:keepNext/>
        <w:spacing w:after="0"/>
        <w:jc w:val="center"/>
      </w:pPr>
      <w:r>
        <w:drawing>
          <wp:inline distT="0" distB="0" distL="0" distR="0">
            <wp:extent cx="5760720" cy="20665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066544"/>
                    </a:xfrm>
                    <a:prstGeom prst="rect">
                      <a:avLst/>
                    </a:prstGeom>
                  </pic:spPr>
                </pic:pic>
              </a:graphicData>
            </a:graphic>
          </wp:inline>
        </w:drawing>
      </w:r>
    </w:p>
    <w:p>
      <w:pPr>
        <w:keepNext/>
        <w:spacing w:after="40" w:before="80"/>
        <w:jc w:val="center"/>
      </w:pPr>
      <w:r>
        <w:rPr>
          <w:rFonts w:ascii="Arial" w:cs="Arial" w:eastAsia="Arial" w:hAnsi="Arial"/>
          <w:b/>
          <w:bCs/>
          <w:sz w:val="17"/>
          <w:szCs w:val="17"/>
        </w:rPr>
        <w:t xml:space="preserve">Figura N.° 2: Tipo de cambio S/ por US$ y precio del petróleo WTI, promedios mensuales 2021–2025</w:t>
      </w:r>
    </w:p>
    <w:p>
      <w:pPr>
        <w:spacing w:after="100" w:before="20"/>
        <w:jc w:val="left"/>
      </w:pPr>
      <w:r>
        <w:rPr>
          <w:rFonts w:ascii="Arial" w:cs="Arial" w:eastAsia="Arial" w:hAnsi="Arial"/>
          <w:color w:val="52514E"/>
          <w:sz w:val="15"/>
          <w:szCs w:val="15"/>
        </w:rPr>
        <w:t xml:space="preserve">Fuente: BCRP, series PN01210PM y PN01660XM. Volatilidad anualizada 2021–2025 (retornos logarítmicos mensuales): TC 5.8%; WTI 24.7%. Elaboración: propia.</w:t>
      </w:r>
    </w:p>
    <w:p>
      <w:pPr>
        <w:keepNext/>
        <w:spacing w:after="60" w:before="100"/>
      </w:pPr>
      <w:r>
        <w:rPr>
          <w:rFonts w:ascii="Arial" w:cs="Arial" w:eastAsia="Arial" w:hAnsi="Arial"/>
          <w:b/>
          <w:bCs/>
          <w:color w:val="1F3864"/>
          <w:sz w:val="20"/>
          <w:szCs w:val="20"/>
        </w:rPr>
        <w:t xml:space="preserve">B. Riesgo de precio del crudo (commodities)</w:t>
      </w:r>
    </w:p>
    <w:p>
      <w:pPr>
        <w:spacing w:after="80" w:before="0" w:line="276"/>
        <w:jc w:val="both"/>
      </w:pPr>
      <w:r>
        <w:rPr>
          <w:rFonts w:ascii="Arial" w:cs="Arial" w:eastAsia="Arial" w:hAnsi="Arial"/>
          <w:sz w:val="22"/>
          <w:szCs w:val="22"/>
        </w:rPr>
        <w:t xml:space="preserve">Es el riesgo operativo-financiero más directo. PETROPERÚ compró crudo y productos por US$ 2,490.0 MM en 2025, a un precio promedio de US$ 78.66/bl, con un volumen de 87 MBDC, pero el crudo cerró el año en </w:t>
      </w:r>
      <w:r>
        <w:rPr>
          <w:rFonts w:ascii="Arial" w:cs="Arial" w:eastAsia="Arial" w:hAnsi="Arial"/>
          <w:b/>
          <w:bCs/>
          <w:sz w:val="22"/>
          <w:szCs w:val="22"/>
        </w:rPr>
        <w:t xml:space="preserve">US$ 57.42/bl</w:t>
      </w:r>
      <w:r>
        <w:rPr>
          <w:rFonts w:ascii="Arial" w:cs="Arial" w:eastAsia="Arial" w:hAnsi="Arial"/>
          <w:sz w:val="22"/>
          <w:szCs w:val="22"/>
        </w:rPr>
        <w:t xml:space="preserve"> (US$ 71.72/bl en 2024). Entre el precio de compra y la venta del producto refinado pasan varias semanas, y en ese lapso el inventario pierde valor cuando el precio cae. La Nota 1-d identifica esta “tendencia a la baja de los precios internacionales de crudo y productos impactando en la realización de los inventarios” como una causa de la pérdida de 2025. Al cierre, el inventario de crudo era de </w:t>
      </w:r>
      <w:r>
        <w:rPr>
          <w:rFonts w:ascii="Arial" w:cs="Arial" w:eastAsia="Arial" w:hAnsi="Arial"/>
          <w:b/>
          <w:bCs/>
          <w:sz w:val="22"/>
          <w:szCs w:val="22"/>
        </w:rPr>
        <w:t xml:space="preserve">2,901 MBL</w:t>
      </w:r>
      <w:r>
        <w:rPr>
          <w:rFonts w:ascii="Arial" w:cs="Arial" w:eastAsia="Arial" w:hAnsi="Arial"/>
          <w:sz w:val="22"/>
          <w:szCs w:val="22"/>
        </w:rPr>
        <w:t xml:space="preserve">, valorizado en US$ 168.4 MM, y el inventario total de hidrocarburos (crudo, productos en proceso, productos terminados y en tránsito) sumaba US$ 563.5 MM. Con un margen bruto casi nulo (US$ 14.4 MM), una caída de 20% del WTI sobre el inventario de crudo (−US$ 33.3 MM) equivale a más del doble de la utilidad bruta del año. El FEPC solo alcanza al Diésel BX y al Petróleo Industrial 6, y en 2025 significó un aporte neto (−0.43% de los ingresos), no una compensación.</w:t>
      </w:r>
    </w:p>
    <w:p>
      <w:pPr>
        <w:keepNext/>
        <w:spacing w:after="60" w:before="100"/>
      </w:pPr>
      <w:r>
        <w:rPr>
          <w:rFonts w:ascii="Arial" w:cs="Arial" w:eastAsia="Arial" w:hAnsi="Arial"/>
          <w:b/>
          <w:bCs/>
          <w:color w:val="1F3864"/>
          <w:sz w:val="20"/>
          <w:szCs w:val="20"/>
        </w:rPr>
        <w:t xml:space="preserve">C. Riesgo de tasa de interés</w:t>
      </w:r>
    </w:p>
    <w:p>
      <w:pPr>
        <w:spacing w:after="80" w:before="0" w:line="276"/>
        <w:jc w:val="both"/>
      </w:pPr>
      <w:r>
        <w:rPr>
          <w:rFonts w:ascii="Arial" w:cs="Arial" w:eastAsia="Arial" w:hAnsi="Arial"/>
          <w:sz w:val="22"/>
          <w:szCs w:val="22"/>
        </w:rPr>
        <w:t xml:space="preserve">Toda la deuda está pactada a tasa fija (Figura N.° 3): bonos 2032 (4.750%) y 2047 (5.625%) por US$ 3,000 MM nominales, el préstamo CESCE (3.285%, 2030), el préstamo del BN (5.55%) y líneas de corto plazo entre 3.85% y 12.22%. Por eso no hay riesgo de flujo de caja por tasas variables; el riesgo está en el </w:t>
      </w:r>
      <w:r>
        <w:rPr>
          <w:rFonts w:ascii="Arial" w:cs="Arial" w:eastAsia="Arial" w:hAnsi="Arial"/>
          <w:b/>
          <w:bCs/>
          <w:sz w:val="22"/>
          <w:szCs w:val="22"/>
        </w:rPr>
        <w:t xml:space="preserve">valor razonable</w:t>
      </w:r>
      <w:r>
        <w:rPr>
          <w:rFonts w:ascii="Arial" w:cs="Arial" w:eastAsia="Arial" w:hAnsi="Arial"/>
          <w:sz w:val="22"/>
          <w:szCs w:val="22"/>
        </w:rPr>
        <w:t xml:space="preserve"> y, sobre todo, en la </w:t>
      </w:r>
      <w:r>
        <w:rPr>
          <w:rFonts w:ascii="Arial" w:cs="Arial" w:eastAsia="Arial" w:hAnsi="Arial"/>
          <w:b/>
          <w:bCs/>
          <w:sz w:val="22"/>
          <w:szCs w:val="22"/>
        </w:rPr>
        <w:t xml:space="preserve">refinanciación</w:t>
      </w:r>
      <w:r>
        <w:rPr>
          <w:rFonts w:ascii="Arial" w:cs="Arial" w:eastAsia="Arial" w:hAnsi="Arial"/>
          <w:sz w:val="22"/>
          <w:szCs w:val="22"/>
        </w:rPr>
        <w:t xml:space="preserve">. Los bonos valen US$ 2,030.3 MM a mercado frente a US$ 3,096.0 MM en libros, lo que implica un rendimiento de mercado de </w:t>
      </w:r>
      <w:r>
        <w:rPr>
          <w:rFonts w:ascii="Arial" w:cs="Arial" w:eastAsia="Arial" w:hAnsi="Arial"/>
          <w:b/>
          <w:bCs/>
          <w:sz w:val="22"/>
          <w:szCs w:val="22"/>
        </w:rPr>
        <w:t xml:space="preserve">9.7%</w:t>
      </w:r>
      <w:r>
        <w:rPr>
          <w:rFonts w:ascii="Arial" w:cs="Arial" w:eastAsia="Arial" w:hAnsi="Arial"/>
          <w:sz w:val="22"/>
          <w:szCs w:val="22"/>
        </w:rPr>
        <w:t xml:space="preserve"> (cálculo propio): un spread de crédito del orden de 500–550 pb sobre la tasa base. Cada 100 pb de variación modifican su valor en unos US$ 167 MM. Además, por la opinión con salvedades se incumplió un covenant no financiero del CESCE y su saldo (US$ 722.2 MM) se reclasificó al corto plazo. Un swap puede fijar la tasa base, pero no el spread, que es el componente dominante; por eso este riesgo no se incluye entre las estrategias principales (ver Sección IV).</w:t>
      </w:r>
    </w:p>
    <w:p>
      <w:pPr>
        <w:keepNext/>
        <w:spacing w:after="0"/>
        <w:jc w:val="center"/>
      </w:pPr>
      <w:r>
        <w:drawing>
          <wp:inline distT="0" distB="0" distL="0" distR="0">
            <wp:extent cx="5760720" cy="19842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1984248"/>
                    </a:xfrm>
                    <a:prstGeom prst="rect">
                      <a:avLst/>
                    </a:prstGeom>
                  </pic:spPr>
                </pic:pic>
              </a:graphicData>
            </a:graphic>
          </wp:inline>
        </w:drawing>
      </w:r>
    </w:p>
    <w:p>
      <w:pPr>
        <w:keepNext/>
        <w:spacing w:after="40" w:before="80"/>
        <w:jc w:val="center"/>
      </w:pPr>
      <w:r>
        <w:rPr>
          <w:rFonts w:ascii="Arial" w:cs="Arial" w:eastAsia="Arial" w:hAnsi="Arial"/>
          <w:b/>
          <w:bCs/>
          <w:sz w:val="17"/>
          <w:szCs w:val="17"/>
        </w:rPr>
        <w:t xml:space="preserve">Figura N.° 3: Estructura de la deuda financiera y con el accionista al 31.12.2025 (US$ 6,440.6 MM)</w:t>
      </w:r>
    </w:p>
    <w:p>
      <w:pPr>
        <w:spacing w:after="100" w:before="20"/>
        <w:jc w:val="left"/>
      </w:pPr>
      <w:r>
        <w:rPr>
          <w:rFonts w:ascii="Arial" w:cs="Arial" w:eastAsia="Arial" w:hAnsi="Arial"/>
          <w:color w:val="52514E"/>
          <w:sz w:val="15"/>
          <w:szCs w:val="15"/>
        </w:rPr>
        <w:t xml:space="preserve">Fuente: PETROPERÚ, Estados financieros auditados al 31.12.2025 (Gaveglio, Aparicio y Asociados, 2026), Notas 1, 3, 10, 14 y 28. Elaboración: propia.</w:t>
      </w:r>
    </w:p>
    <w:p>
      <w:pPr>
        <w:keepNext/>
        <w:spacing w:after="60" w:before="100"/>
      </w:pPr>
      <w:r>
        <w:rPr>
          <w:rFonts w:ascii="Arial" w:cs="Arial" w:eastAsia="Arial" w:hAnsi="Arial"/>
          <w:b/>
          <w:bCs/>
          <w:color w:val="1F3864"/>
          <w:sz w:val="20"/>
          <w:szCs w:val="20"/>
        </w:rPr>
        <w:t xml:space="preserve">D. Riesgos de liquidez y de crédito</w:t>
      </w:r>
    </w:p>
    <w:p>
      <w:pPr>
        <w:spacing w:after="80" w:before="0" w:line="276"/>
        <w:jc w:val="both"/>
      </w:pPr>
      <w:r>
        <w:rPr>
          <w:rFonts w:ascii="Arial" w:cs="Arial" w:eastAsia="Arial" w:hAnsi="Arial"/>
          <w:sz w:val="22"/>
          <w:szCs w:val="22"/>
        </w:rPr>
        <w:t xml:space="preserve">El </w:t>
      </w:r>
      <w:r>
        <w:rPr>
          <w:rFonts w:ascii="Arial" w:cs="Arial" w:eastAsia="Arial" w:hAnsi="Arial"/>
          <w:b/>
          <w:bCs/>
          <w:sz w:val="22"/>
          <w:szCs w:val="22"/>
        </w:rPr>
        <w:t xml:space="preserve">riesgo de liquidez</w:t>
      </w:r>
      <w:r>
        <w:rPr>
          <w:rFonts w:ascii="Arial" w:cs="Arial" w:eastAsia="Arial" w:hAnsi="Arial"/>
          <w:sz w:val="22"/>
          <w:szCs w:val="22"/>
        </w:rPr>
        <w:t xml:space="preserve"> es crítico: al cierre de 2025 las líneas revolventes sumaban US$ 376.9 MM, de las cuales se usaban US$ 354.6 MM (94%), y los flujos no descontados de pasivos a menos de un año ascendían a US$ 3,163.4 MM. No se cubre con derivados (Figura N.° 4), pero </w:t>
      </w:r>
      <w:r>
        <w:rPr>
          <w:rFonts w:ascii="Arial" w:cs="Arial" w:eastAsia="Arial" w:hAnsi="Arial"/>
          <w:b/>
          <w:bCs/>
          <w:sz w:val="22"/>
          <w:szCs w:val="22"/>
        </w:rPr>
        <w:t xml:space="preserve">condiciona el diseño de las coberturas</w:t>
      </w:r>
      <w:r>
        <w:rPr>
          <w:rFonts w:ascii="Arial" w:cs="Arial" w:eastAsia="Arial" w:hAnsi="Arial"/>
          <w:sz w:val="22"/>
          <w:szCs w:val="22"/>
        </w:rPr>
        <w:t xml:space="preserve">: deben evitarse instrumentos con llamadas de margen diarias, como los futuros en bolsa, y primas iniciales altas. El </w:t>
      </w:r>
      <w:r>
        <w:rPr>
          <w:rFonts w:ascii="Arial" w:cs="Arial" w:eastAsia="Arial" w:hAnsi="Arial"/>
          <w:b/>
          <w:bCs/>
          <w:sz w:val="22"/>
          <w:szCs w:val="22"/>
        </w:rPr>
        <w:t xml:space="preserve">riesgo de crédito</w:t>
      </w:r>
      <w:r>
        <w:rPr>
          <w:rFonts w:ascii="Arial" w:cs="Arial" w:eastAsia="Arial" w:hAnsi="Arial"/>
          <w:sz w:val="22"/>
          <w:szCs w:val="22"/>
        </w:rPr>
        <w:t xml:space="preserve"> es bajo, porque la cartera se concentra en mayoristas de primer nivel y en entidades del Estado (Fuerzas Armadas con 45 días de crédito y PNP con 25 días).</w:t>
      </w:r>
    </w:p>
    <w:p>
      <w:pPr>
        <w:keepNext/>
        <w:spacing w:after="0"/>
        <w:jc w:val="center"/>
      </w:pPr>
      <w:r>
        <w:drawing>
          <wp:inline distT="0" distB="0" distL="0" distR="0">
            <wp:extent cx="5760720" cy="18928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1892808"/>
                    </a:xfrm>
                    <a:prstGeom prst="rect">
                      <a:avLst/>
                    </a:prstGeom>
                  </pic:spPr>
                </pic:pic>
              </a:graphicData>
            </a:graphic>
          </wp:inline>
        </w:drawing>
      </w:r>
    </w:p>
    <w:p>
      <w:pPr>
        <w:keepNext/>
        <w:spacing w:after="40" w:before="80"/>
        <w:jc w:val="center"/>
      </w:pPr>
      <w:r>
        <w:rPr>
          <w:rFonts w:ascii="Arial" w:cs="Arial" w:eastAsia="Arial" w:hAnsi="Arial"/>
          <w:b/>
          <w:bCs/>
          <w:sz w:val="17"/>
          <w:szCs w:val="17"/>
        </w:rPr>
        <w:t xml:space="preserve">Figura N.° 4: Vencimientos de pasivos financieros (flujos no descontados, US$ millones)</w:t>
      </w:r>
    </w:p>
    <w:p>
      <w:pPr>
        <w:spacing w:after="100" w:before="20"/>
        <w:jc w:val="left"/>
      </w:pPr>
      <w:r>
        <w:rPr>
          <w:rFonts w:ascii="Arial" w:cs="Arial" w:eastAsia="Arial" w:hAnsi="Arial"/>
          <w:color w:val="52514E"/>
          <w:sz w:val="15"/>
          <w:szCs w:val="15"/>
        </w:rPr>
        <w:t xml:space="preserve">Fuente: EEFF 2025, Nota 3.1-c (riesgo de liquidez). Elaboración: propia.</w:t>
      </w:r>
    </w:p>
    <w:p>
      <w:pPr>
        <w:keepNext/>
        <w:pBdr>
          <w:bottom w:val="single" w:color="1F3864" w:sz="6" w:space="1"/>
        </w:pBdr>
        <w:spacing w:after="80" w:before="140"/>
      </w:pPr>
      <w:r>
        <w:rPr>
          <w:rFonts w:ascii="Arial" w:cs="Arial" w:eastAsia="Arial" w:hAnsi="Arial"/>
          <w:b/>
          <w:bCs/>
          <w:color w:val="1F3864"/>
          <w:sz w:val="22"/>
          <w:szCs w:val="22"/>
        </w:rPr>
        <w:t xml:space="preserve">III. ESTRATEGIAS DE COBERTURA CON INSTRUMENTOS DERIVADOS</w:t>
      </w:r>
    </w:p>
    <w:p>
      <w:pPr>
        <w:keepNext/>
        <w:spacing w:after="60" w:before="100"/>
      </w:pPr>
      <w:r>
        <w:rPr>
          <w:rFonts w:ascii="Arial" w:cs="Arial" w:eastAsia="Arial" w:hAnsi="Arial"/>
          <w:b/>
          <w:bCs/>
          <w:color w:val="1F3864"/>
          <w:sz w:val="20"/>
          <w:szCs w:val="20"/>
        </w:rPr>
        <w:t xml:space="preserve">Estrategia 1: Cross Currency Swap (CCS) y forwards sin entrega (NDF) para el riesgo cambiario</w:t>
      </w:r>
    </w:p>
    <w:p>
      <w:pPr>
        <w:keepNext/>
        <w:spacing w:after="40" w:before="60"/>
      </w:pPr>
      <w:r>
        <w:rPr>
          <w:rFonts w:ascii="Arial" w:cs="Arial" w:eastAsia="Arial" w:hAnsi="Arial"/>
          <w:b/>
          <w:bCs/>
          <w:i/>
          <w:iCs/>
          <w:sz w:val="22"/>
          <w:szCs w:val="22"/>
        </w:rPr>
        <w:t xml:space="preserve">1.1 Diseño</w:t>
      </w:r>
    </w:p>
    <w:p>
      <w:pPr>
        <w:spacing w:after="80" w:before="0" w:line="276"/>
        <w:jc w:val="both"/>
      </w:pPr>
      <w:r>
        <w:rPr>
          <w:rFonts w:ascii="Arial" w:cs="Arial" w:eastAsia="Arial" w:hAnsi="Arial"/>
          <w:sz w:val="22"/>
          <w:szCs w:val="22"/>
        </w:rPr>
        <w:t xml:space="preserve">Se propone un </w:t>
      </w:r>
      <w:r>
        <w:rPr>
          <w:rFonts w:ascii="Arial" w:cs="Arial" w:eastAsia="Arial" w:hAnsi="Arial"/>
          <w:b/>
          <w:bCs/>
          <w:sz w:val="22"/>
          <w:szCs w:val="22"/>
        </w:rPr>
        <w:t xml:space="preserve">CCS amortizable</w:t>
      </w:r>
      <w:r>
        <w:rPr>
          <w:rFonts w:ascii="Arial" w:cs="Arial" w:eastAsia="Arial" w:hAnsi="Arial"/>
          <w:sz w:val="22"/>
          <w:szCs w:val="22"/>
        </w:rPr>
        <w:t xml:space="preserve"> con un banco de primer nivel que replique exactamente el cronograma del préstamo del BN. PETROPERÚ </w:t>
      </w:r>
      <w:r>
        <w:rPr>
          <w:rFonts w:ascii="Arial" w:cs="Arial" w:eastAsia="Arial" w:hAnsi="Arial"/>
          <w:b/>
          <w:bCs/>
          <w:sz w:val="22"/>
          <w:szCs w:val="22"/>
        </w:rPr>
        <w:t xml:space="preserve">recibe</w:t>
      </w:r>
      <w:r>
        <w:rPr>
          <w:rFonts w:ascii="Arial" w:cs="Arial" w:eastAsia="Arial" w:hAnsi="Arial"/>
          <w:sz w:val="22"/>
          <w:szCs w:val="22"/>
        </w:rPr>
        <w:t xml:space="preserve"> cada mes, en soles, la cuota del préstamo (S/ 113.8 MM, a 5.55%) y </w:t>
      </w:r>
      <w:r>
        <w:rPr>
          <w:rFonts w:ascii="Arial" w:cs="Arial" w:eastAsia="Arial" w:hAnsi="Arial"/>
          <w:b/>
          <w:bCs/>
          <w:sz w:val="22"/>
          <w:szCs w:val="22"/>
        </w:rPr>
        <w:t xml:space="preserve">paga</w:t>
      </w:r>
      <w:r>
        <w:rPr>
          <w:rFonts w:ascii="Arial" w:cs="Arial" w:eastAsia="Arial" w:hAnsi="Arial"/>
          <w:sz w:val="22"/>
          <w:szCs w:val="22"/>
        </w:rPr>
        <w:t xml:space="preserve"> una cuota en dólares a tasa fija sobre un nocional de US$ 1,118.4 MM. Así, la deuda en soles se convierte sintéticamente en deuda en la moneda funcional (Figura N.° 5). El saldo remanente de la posición en soles (S/ 938.4 MM, sobre todo cuentas por pagar de corto plazo) se cubre con </w:t>
      </w:r>
      <w:r>
        <w:rPr>
          <w:rFonts w:ascii="Arial" w:cs="Arial" w:eastAsia="Arial" w:hAnsi="Arial"/>
          <w:b/>
          <w:bCs/>
          <w:sz w:val="22"/>
          <w:szCs w:val="22"/>
        </w:rPr>
        <w:t xml:space="preserve">NDF de compra de soles a 3 meses renovables</w:t>
      </w:r>
      <w:r>
        <w:rPr>
          <w:rFonts w:ascii="Arial" w:cs="Arial" w:eastAsia="Arial" w:hAnsi="Arial"/>
          <w:sz w:val="22"/>
          <w:szCs w:val="22"/>
        </w:rPr>
        <w:t xml:space="preserve">, que se liquidan por diferencias en dólares y no requieren entregar el principal.</w:t>
      </w:r>
    </w:p>
    <w:p>
      <w:pPr>
        <w:keepNext/>
        <w:spacing w:after="0"/>
        <w:jc w:val="center"/>
      </w:pPr>
      <w:r>
        <w:drawing>
          <wp:inline distT="0" distB="0" distL="0" distR="0">
            <wp:extent cx="5760720" cy="18013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1801368"/>
                    </a:xfrm>
                    <a:prstGeom prst="rect">
                      <a:avLst/>
                    </a:prstGeom>
                  </pic:spPr>
                </pic:pic>
              </a:graphicData>
            </a:graphic>
          </wp:inline>
        </w:drawing>
      </w:r>
    </w:p>
    <w:p>
      <w:pPr>
        <w:keepNext/>
        <w:spacing w:after="40" w:before="80"/>
        <w:jc w:val="center"/>
      </w:pPr>
      <w:r>
        <w:rPr>
          <w:rFonts w:ascii="Arial" w:cs="Arial" w:eastAsia="Arial" w:hAnsi="Arial"/>
          <w:b/>
          <w:bCs/>
          <w:sz w:val="17"/>
          <w:szCs w:val="17"/>
        </w:rPr>
        <w:t xml:space="preserve">Figura N.° 5: Estructura de flujos del Cross Currency Swap propuesto</w:t>
      </w:r>
    </w:p>
    <w:p>
      <w:pPr>
        <w:spacing w:after="100" w:before="20"/>
        <w:jc w:val="left"/>
      </w:pPr>
      <w:r>
        <w:rPr>
          <w:rFonts w:ascii="Arial" w:cs="Arial" w:eastAsia="Arial" w:hAnsi="Arial"/>
          <w:color w:val="52514E"/>
          <w:sz w:val="15"/>
          <w:szCs w:val="15"/>
        </w:rPr>
        <w:t xml:space="preserve">Fuente: Nota 14-(ii) de los EEFF 2025 (condiciones del préstamo del BN). Elaboración: propia.</w:t>
      </w:r>
    </w:p>
    <w:p>
      <w:pPr>
        <w:keepNext/>
        <w:spacing w:after="40" w:before="60"/>
      </w:pPr>
      <w:r>
        <w:rPr>
          <w:rFonts w:ascii="Arial" w:cs="Arial" w:eastAsia="Arial" w:hAnsi="Arial"/>
          <w:b/>
          <w:bCs/>
          <w:i/>
          <w:iCs/>
          <w:sz w:val="22"/>
          <w:szCs w:val="22"/>
        </w:rPr>
        <w:t xml:space="preserve">1.2 Valorización</w:t>
      </w:r>
    </w:p>
    <w:p>
      <w:pPr>
        <w:spacing w:after="80" w:before="0" w:line="276"/>
        <w:jc w:val="both"/>
      </w:pPr>
      <w:r>
        <w:rPr>
          <w:rFonts w:ascii="Arial" w:cs="Arial" w:eastAsia="Arial" w:hAnsi="Arial"/>
          <w:sz w:val="22"/>
          <w:szCs w:val="22"/>
        </w:rPr>
        <w:t xml:space="preserve">Se supone que las 36 cuotas restantes (enero de 2026 a diciembre de 2028) se pagan con el sistema francés sobre el saldo de S/ 3,765.6 MM. La tasa fija en dólares del CCS se obtiene igualando el valor presente de ambas patas, descontadas con curvas planas en soles (4.25%, tasa de referencia del BCRP) y en dólares (3.80%, SOFR promedio de diciembre de 2025):</w:t>
      </w:r>
    </w:p>
    <w:p>
      <w:pPr>
        <w:spacing w:after="60" w:before="20"/>
        <w:jc w:val="center"/>
      </w:pPr>
      <w:r>
        <w:rPr>
          <w:rFonts w:ascii="Cambria" w:cs="Cambria" w:eastAsia="Cambria" w:hAnsi="Cambria"/>
          <w:i/>
          <w:iCs/>
          <w:sz w:val="22"/>
          <w:szCs w:val="22"/>
        </w:rPr>
        <w:t xml:space="preserve">Σₖ Cuota_S/ · (1 + r_PEN/12)^(−k) / S₀  =  Σₖ Cuota_US$(X) · (1 + r_USD/12)^(−k)</w:t>
      </w:r>
    </w:p>
    <w:p>
      <w:pPr>
        <w:spacing w:after="60" w:before="0" w:line="276"/>
        <w:jc w:val="both"/>
      </w:pPr>
      <w:r>
        <w:rPr>
          <w:rFonts w:ascii="Arial" w:cs="Arial" w:eastAsia="Arial" w:hAnsi="Arial"/>
          <w:sz w:val="22"/>
          <w:szCs w:val="22"/>
        </w:rPr>
        <w:t xml:space="preserve">El precio forward de los NDF se obtiene por paridad cubierta de tasas de interés: F = S₀ × (1 + r(PEN)·t) / (1 + r(USD)·t).</w:t>
      </w:r>
    </w:p>
    <w:p>
      <w:pPr>
        <w:keepNext/>
        <w:spacing w:after="40" w:before="80"/>
        <w:jc w:val="center"/>
      </w:pPr>
      <w:r>
        <w:rPr>
          <w:rFonts w:ascii="Arial" w:cs="Arial" w:eastAsia="Arial" w:hAnsi="Arial"/>
          <w:b/>
          <w:bCs/>
          <w:sz w:val="17"/>
          <w:szCs w:val="17"/>
        </w:rPr>
        <w:t xml:space="preserve">Tabla N.° 4: Parámetros y resultados de la Estrategia 1</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3953"/>
        <w:gridCol w:w="2541"/>
        <w:gridCol w:w="2578"/>
      </w:tblGrid>
      <w:tr>
        <w:trPr>
          <w:cantSplit/>
          <w:tblHeader/>
        </w:trPr>
        <w:tc>
          <w:tcPr>
            <w:tcW w:type="dxa" w:w="3953"/>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left"/>
            </w:pPr>
            <w:r>
              <w:rPr>
                <w:rFonts w:ascii="Arial" w:cs="Arial" w:eastAsia="Arial" w:hAnsi="Arial"/>
                <w:b/>
                <w:bCs/>
                <w:color w:val="FFFFFF"/>
                <w:sz w:val="17"/>
                <w:szCs w:val="17"/>
              </w:rPr>
              <w:t xml:space="preserve">Concepto</w:t>
            </w:r>
          </w:p>
        </w:tc>
        <w:tc>
          <w:tcPr>
            <w:tcW w:type="dxa" w:w="254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Valor</w:t>
            </w:r>
          </w:p>
        </w:tc>
        <w:tc>
          <w:tcPr>
            <w:tcW w:type="dxa" w:w="257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Base</w:t>
            </w:r>
          </w:p>
        </w:tc>
      </w:tr>
      <w:tr>
        <w:trPr>
          <w:cantSplit/>
          <w:tblHeader w:val="false"/>
        </w:trPr>
        <w:tc>
          <w:tcPr>
            <w:tcW w:type="dxa" w:w="395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Tipo de cambio spot (S₀)</w:t>
            </w:r>
          </w:p>
        </w:tc>
        <w:tc>
          <w:tcPr>
            <w:tcW w:type="dxa" w:w="2541"/>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3.367 S/ por US$</w:t>
            </w:r>
          </w:p>
        </w:tc>
        <w:tc>
          <w:tcPr>
            <w:tcW w:type="dxa" w:w="25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SBS: 0.297 US$ por S/ (Nota 3)</w:t>
            </w:r>
          </w:p>
        </w:tc>
      </w:tr>
      <w:tr>
        <w:trPr>
          <w:cantSplit/>
          <w:tblHeader w:val="false"/>
        </w:trPr>
        <w:tc>
          <w:tcPr>
            <w:tcW w:type="dxa" w:w="395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Nocional S/ | nocional US$</w:t>
            </w:r>
          </w:p>
        </w:tc>
        <w:tc>
          <w:tcPr>
            <w:tcW w:type="dxa" w:w="2541"/>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S/ 3,765.6 MM | US$ 1,118.4 MM</w:t>
            </w:r>
          </w:p>
        </w:tc>
        <w:tc>
          <w:tcPr>
            <w:tcW w:type="dxa" w:w="25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Nota 14-(ii)</w:t>
            </w:r>
          </w:p>
        </w:tc>
      </w:tr>
      <w:tr>
        <w:trPr>
          <w:cantSplit/>
          <w:tblHeader w:val="false"/>
        </w:trPr>
        <w:tc>
          <w:tcPr>
            <w:tcW w:type="dxa" w:w="395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Cuota mensual pata S/ (recibe)</w:t>
            </w:r>
          </w:p>
        </w:tc>
        <w:tc>
          <w:tcPr>
            <w:tcW w:type="dxa" w:w="2541"/>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S/ 113.8 MM × 36</w:t>
            </w:r>
          </w:p>
        </w:tc>
        <w:tc>
          <w:tcPr>
            <w:tcW w:type="dxa" w:w="25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Tasa de 5.55%, sistema francés</w:t>
            </w:r>
          </w:p>
        </w:tc>
      </w:tr>
      <w:tr>
        <w:trPr>
          <w:cantSplit/>
          <w:tblHeader w:val="false"/>
        </w:trPr>
        <w:tc>
          <w:tcPr>
            <w:tcW w:type="dxa" w:w="395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VP de la pata S/ en US$</w:t>
            </w:r>
          </w:p>
        </w:tc>
        <w:tc>
          <w:tcPr>
            <w:tcW w:type="dxa" w:w="2541"/>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US$ 1,140.4 MM</w:t>
            </w:r>
          </w:p>
        </w:tc>
        <w:tc>
          <w:tcPr>
            <w:tcW w:type="dxa" w:w="25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Descontada al 4.25%</w:t>
            </w:r>
          </w:p>
        </w:tc>
      </w:tr>
      <w:tr>
        <w:trPr>
          <w:cantSplit/>
          <w:tblHeader w:val="false"/>
        </w:trPr>
        <w:tc>
          <w:tcPr>
            <w:tcW w:type="dxa" w:w="395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Tasa fija de equilibrio pata US$ (paga)</w:t>
            </w:r>
          </w:p>
        </w:tc>
        <w:tc>
          <w:tcPr>
            <w:tcW w:type="dxa" w:w="2541"/>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5.10%</w:t>
            </w:r>
          </w:p>
        </w:tc>
        <w:tc>
          <w:tcPr>
            <w:tcW w:type="dxa" w:w="25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Antes del cargo por riesgo de crédito</w:t>
            </w:r>
          </w:p>
        </w:tc>
      </w:tr>
      <w:tr>
        <w:trPr>
          <w:cantSplit/>
          <w:tblHeader w:val="false"/>
        </w:trPr>
        <w:tc>
          <w:tcPr>
            <w:tcW w:type="dxa" w:w="395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Cuota mensual pata US$ (paga)</w:t>
            </w:r>
          </w:p>
        </w:tc>
        <w:tc>
          <w:tcPr>
            <w:tcW w:type="dxa" w:w="2541"/>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US$ 33.6 MM × 36</w:t>
            </w:r>
          </w:p>
        </w:tc>
        <w:tc>
          <w:tcPr>
            <w:tcW w:type="dxa" w:w="25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Total: US$ 1,208.4 MM</w:t>
            </w:r>
          </w:p>
        </w:tc>
      </w:tr>
      <w:tr>
        <w:trPr>
          <w:cantSplit/>
          <w:tblHeader w:val="false"/>
        </w:trPr>
        <w:tc>
          <w:tcPr>
            <w:tcW w:type="dxa" w:w="395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NDF compra de S/ a 3 meses: nocional | forward</w:t>
            </w:r>
          </w:p>
        </w:tc>
        <w:tc>
          <w:tcPr>
            <w:tcW w:type="dxa" w:w="2541"/>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S/ 750 MM | 3.3708</w:t>
            </w:r>
          </w:p>
        </w:tc>
        <w:tc>
          <w:tcPr>
            <w:tcW w:type="dxa" w:w="25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+37.5 pips sobre el spot</w:t>
            </w:r>
          </w:p>
        </w:tc>
      </w:tr>
      <w:tr>
        <w:trPr>
          <w:cantSplit/>
          <w:tblHeader w:val="false"/>
        </w:trPr>
        <w:tc>
          <w:tcPr>
            <w:tcW w:type="dxa" w:w="395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left"/>
            </w:pPr>
            <w:r>
              <w:rPr>
                <w:rFonts w:ascii="Arial" w:cs="Arial" w:eastAsia="Arial" w:hAnsi="Arial"/>
                <w:color w:val="000000"/>
                <w:sz w:val="17"/>
                <w:szCs w:val="17"/>
              </w:rPr>
              <w:t xml:space="preserve">Posición en S/ sin cubrir tras la estrategia</w:t>
            </w:r>
          </w:p>
        </w:tc>
        <w:tc>
          <w:tcPr>
            <w:tcW w:type="dxa" w:w="2541"/>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S/ 188.4 MM (4.0%)</w:t>
            </w:r>
          </w:p>
        </w:tc>
        <w:tc>
          <w:tcPr>
            <w:tcW w:type="dxa" w:w="25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Cobertura de 96%</w:t>
            </w:r>
          </w:p>
        </w:tc>
      </w:tr>
    </w:tbl>
    <w:p>
      <w:pPr>
        <w:spacing w:after="100" w:before="20"/>
        <w:jc w:val="left"/>
      </w:pPr>
      <w:r>
        <w:rPr>
          <w:rFonts w:ascii="Arial" w:cs="Arial" w:eastAsia="Arial" w:hAnsi="Arial"/>
          <w:color w:val="52514E"/>
          <w:sz w:val="15"/>
          <w:szCs w:val="15"/>
        </w:rPr>
        <w:t xml:space="preserve">Fuente: EEFF 2025; BCRP (tasa de referencia a diciembre de 2025); FRBNY (SOFR). Elaboración: propia.</w:t>
      </w:r>
    </w:p>
    <w:p>
      <w:pPr>
        <w:spacing w:after="80" w:before="0" w:line="276"/>
        <w:jc w:val="both"/>
      </w:pPr>
      <w:r>
        <w:rPr>
          <w:rFonts w:ascii="Arial" w:cs="Arial" w:eastAsia="Arial" w:hAnsi="Arial"/>
          <w:sz w:val="22"/>
          <w:szCs w:val="22"/>
        </w:rPr>
        <w:t xml:space="preserve">Dada la calificación B-, el banco añadirá un cargo por riesgo de crédito de la contraparte (CVA). Según nuestra estimación, este cargo elevaría la tasa en dólares a un rango de </w:t>
      </w:r>
      <w:r>
        <w:rPr>
          <w:rFonts w:ascii="Arial" w:cs="Arial" w:eastAsia="Arial" w:hAnsi="Arial"/>
          <w:b/>
          <w:bCs/>
          <w:sz w:val="22"/>
          <w:szCs w:val="22"/>
        </w:rPr>
        <w:t xml:space="preserve">6.0%–6.6%</w:t>
      </w:r>
      <w:r>
        <w:rPr>
          <w:rFonts w:ascii="Arial" w:cs="Arial" w:eastAsia="Arial" w:hAnsi="Arial"/>
          <w:sz w:val="22"/>
          <w:szCs w:val="22"/>
        </w:rPr>
        <w:t xml:space="preserve">, todavía competitivo frente a las tasas de 3.85%–12.22% de las líneas en dólares de corto plazo y frente al 9.7% que exige hoy el mercado de bonos.</w:t>
      </w:r>
    </w:p>
    <w:p>
      <w:pPr>
        <w:keepNext/>
        <w:spacing w:after="40" w:before="80"/>
        <w:jc w:val="center"/>
      </w:pPr>
      <w:r>
        <w:rPr>
          <w:rFonts w:ascii="Arial" w:cs="Arial" w:eastAsia="Arial" w:hAnsi="Arial"/>
          <w:b/>
          <w:bCs/>
          <w:sz w:val="17"/>
          <w:szCs w:val="17"/>
        </w:rPr>
        <w:t xml:space="preserve">Tabla N.° 5: Flujos anuales del CCS (millones)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279"/>
        <w:gridCol w:w="1364"/>
        <w:gridCol w:w="1279"/>
        <w:gridCol w:w="1364"/>
        <w:gridCol w:w="1364"/>
        <w:gridCol w:w="1279"/>
        <w:gridCol w:w="1143"/>
      </w:tblGrid>
      <w:tr>
        <w:trPr>
          <w:cantSplit/>
          <w:tblHeader/>
        </w:trPr>
        <w:tc>
          <w:tcPr>
            <w:tcW w:type="dxa" w:w="127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left"/>
            </w:pPr>
            <w:r>
              <w:rPr>
                <w:rFonts w:ascii="Arial" w:cs="Arial" w:eastAsia="Arial" w:hAnsi="Arial"/>
                <w:b/>
                <w:bCs/>
                <w:color w:val="FFFFFF"/>
                <w:sz w:val="17"/>
                <w:szCs w:val="17"/>
              </w:rPr>
              <w:t xml:space="preserve">Año</w:t>
            </w:r>
          </w:p>
        </w:tc>
        <w:tc>
          <w:tcPr>
            <w:tcW w:type="dxa" w:w="1364"/>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Recibe S/ (cuotas)</w:t>
            </w:r>
          </w:p>
        </w:tc>
        <w:tc>
          <w:tcPr>
            <w:tcW w:type="dxa" w:w="127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Interés S/</w:t>
            </w:r>
          </w:p>
        </w:tc>
        <w:tc>
          <w:tcPr>
            <w:tcW w:type="dxa" w:w="1364"/>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Saldo S/ al cierre</w:t>
            </w:r>
          </w:p>
        </w:tc>
        <w:tc>
          <w:tcPr>
            <w:tcW w:type="dxa" w:w="1364"/>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Paga US$ (cuotas)</w:t>
            </w:r>
          </w:p>
        </w:tc>
        <w:tc>
          <w:tcPr>
            <w:tcW w:type="dxa" w:w="127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Interés US$</w:t>
            </w:r>
          </w:p>
        </w:tc>
        <w:tc>
          <w:tcPr>
            <w:tcW w:type="dxa" w:w="1143"/>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Saldo US$ al cierre</w:t>
            </w:r>
          </w:p>
        </w:tc>
      </w:tr>
      <w:tr>
        <w:trPr>
          <w:cantSplit/>
          <w:tblHeader w:val="false"/>
        </w:trPr>
        <w:tc>
          <w:tcPr>
            <w:tcW w:type="dxa" w:w="1279"/>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b w:val="false"/>
                <w:bCs w:val="false"/>
                <w:color w:val="000000"/>
                <w:sz w:val="17"/>
                <w:szCs w:val="17"/>
              </w:rPr>
              <w:t xml:space="preserve">2026</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1,365.5</w:t>
            </w:r>
          </w:p>
        </w:tc>
        <w:tc>
          <w:tcPr>
            <w:tcW w:type="dxa" w:w="1279"/>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179.1</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2,579.2</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402.8</w:t>
            </w:r>
          </w:p>
        </w:tc>
        <w:tc>
          <w:tcPr>
            <w:tcW w:type="dxa" w:w="1279"/>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48.8</w:t>
            </w:r>
          </w:p>
        </w:tc>
        <w:tc>
          <w:tcPr>
            <w:tcW w:type="dxa" w:w="114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764.4</w:t>
            </w:r>
          </w:p>
        </w:tc>
      </w:tr>
      <w:tr>
        <w:trPr>
          <w:cantSplit/>
          <w:tblHeader w:val="false"/>
        </w:trPr>
        <w:tc>
          <w:tcPr>
            <w:tcW w:type="dxa" w:w="1279"/>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b w:val="false"/>
                <w:bCs w:val="false"/>
                <w:color w:val="000000"/>
                <w:sz w:val="17"/>
                <w:szCs w:val="17"/>
              </w:rPr>
              <w:t xml:space="preserve">2027</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1,365.5</w:t>
            </w:r>
          </w:p>
        </w:tc>
        <w:tc>
          <w:tcPr>
            <w:tcW w:type="dxa" w:w="1279"/>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111.6</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1,325.3</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402.8</w:t>
            </w:r>
          </w:p>
        </w:tc>
        <w:tc>
          <w:tcPr>
            <w:tcW w:type="dxa" w:w="1279"/>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30.3</w:t>
            </w:r>
          </w:p>
        </w:tc>
        <w:tc>
          <w:tcPr>
            <w:tcW w:type="dxa" w:w="114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391.9</w:t>
            </w:r>
          </w:p>
        </w:tc>
      </w:tr>
      <w:tr>
        <w:trPr>
          <w:cantSplit/>
          <w:tblHeader w:val="false"/>
        </w:trPr>
        <w:tc>
          <w:tcPr>
            <w:tcW w:type="dxa" w:w="1279"/>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b w:val="false"/>
                <w:bCs w:val="false"/>
                <w:color w:val="000000"/>
                <w:sz w:val="17"/>
                <w:szCs w:val="17"/>
              </w:rPr>
              <w:t xml:space="preserve">2028</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1,365.5</w:t>
            </w:r>
          </w:p>
        </w:tc>
        <w:tc>
          <w:tcPr>
            <w:tcW w:type="dxa" w:w="1279"/>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40.2</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0.0</w:t>
            </w:r>
          </w:p>
        </w:tc>
        <w:tc>
          <w:tcPr>
            <w:tcW w:type="dxa" w:w="136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402.8</w:t>
            </w:r>
          </w:p>
        </w:tc>
        <w:tc>
          <w:tcPr>
            <w:tcW w:type="dxa" w:w="1279"/>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10.9</w:t>
            </w:r>
          </w:p>
        </w:tc>
        <w:tc>
          <w:tcPr>
            <w:tcW w:type="dxa" w:w="114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0.0</w:t>
            </w:r>
          </w:p>
        </w:tc>
      </w:tr>
      <w:tr>
        <w:trPr>
          <w:cantSplit/>
          <w:tblHeader w:val="false"/>
        </w:trPr>
        <w:tc>
          <w:tcPr>
            <w:tcW w:type="dxa" w:w="1279"/>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val="false"/>
              <w:keepLines/>
              <w:spacing w:after="0" w:line="228"/>
              <w:jc w:val="left"/>
            </w:pPr>
            <w:r>
              <w:rPr>
                <w:rFonts w:ascii="Arial" w:cs="Arial" w:eastAsia="Arial" w:hAnsi="Arial"/>
                <w:b/>
                <w:bCs/>
                <w:color w:val="000000"/>
                <w:sz w:val="17"/>
                <w:szCs w:val="17"/>
              </w:rPr>
              <w:t xml:space="preserve">Total</w:t>
            </w:r>
          </w:p>
        </w:tc>
        <w:tc>
          <w:tcPr>
            <w:tcW w:type="dxa" w:w="1364"/>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val="false"/>
              <w:keepLines/>
              <w:spacing w:after="0" w:line="228"/>
              <w:jc w:val="center"/>
            </w:pPr>
            <w:r>
              <w:rPr>
                <w:rFonts w:ascii="Arial" w:cs="Arial" w:eastAsia="Arial" w:hAnsi="Arial"/>
                <w:b/>
                <w:bCs/>
                <w:color w:val="000000"/>
                <w:sz w:val="17"/>
                <w:szCs w:val="17"/>
              </w:rPr>
              <w:t xml:space="preserve">4,096.5</w:t>
            </w:r>
          </w:p>
        </w:tc>
        <w:tc>
          <w:tcPr>
            <w:tcW w:type="dxa" w:w="1279"/>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val="false"/>
              <w:keepLines/>
              <w:spacing w:after="0" w:line="228"/>
              <w:jc w:val="center"/>
            </w:pPr>
            <w:r>
              <w:rPr>
                <w:rFonts w:ascii="Arial" w:cs="Arial" w:eastAsia="Arial" w:hAnsi="Arial"/>
                <w:b/>
                <w:bCs/>
                <w:color w:val="000000"/>
                <w:sz w:val="17"/>
                <w:szCs w:val="17"/>
              </w:rPr>
              <w:t xml:space="preserve">330.9</w:t>
            </w:r>
          </w:p>
        </w:tc>
        <w:tc>
          <w:tcPr>
            <w:tcW w:type="dxa" w:w="1364"/>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val="false"/>
              <w:keepLines/>
              <w:spacing w:after="0" w:line="228"/>
              <w:jc w:val="center"/>
            </w:pPr>
            <w:r>
              <w:rPr>
                <w:rFonts w:ascii="Arial" w:cs="Arial" w:eastAsia="Arial" w:hAnsi="Arial"/>
                <w:b/>
                <w:bCs/>
                <w:color w:val="000000"/>
                <w:sz w:val="17"/>
                <w:szCs w:val="17"/>
              </w:rPr>
              <w:t xml:space="preserve">–</w:t>
            </w:r>
          </w:p>
        </w:tc>
        <w:tc>
          <w:tcPr>
            <w:tcW w:type="dxa" w:w="1364"/>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val="false"/>
              <w:keepLines/>
              <w:spacing w:after="0" w:line="228"/>
              <w:jc w:val="center"/>
            </w:pPr>
            <w:r>
              <w:rPr>
                <w:rFonts w:ascii="Arial" w:cs="Arial" w:eastAsia="Arial" w:hAnsi="Arial"/>
                <w:b/>
                <w:bCs/>
                <w:color w:val="000000"/>
                <w:sz w:val="17"/>
                <w:szCs w:val="17"/>
              </w:rPr>
              <w:t xml:space="preserve">1,208.4</w:t>
            </w:r>
          </w:p>
        </w:tc>
        <w:tc>
          <w:tcPr>
            <w:tcW w:type="dxa" w:w="1279"/>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val="false"/>
              <w:keepLines/>
              <w:spacing w:after="0" w:line="228"/>
              <w:jc w:val="center"/>
            </w:pPr>
            <w:r>
              <w:rPr>
                <w:rFonts w:ascii="Arial" w:cs="Arial" w:eastAsia="Arial" w:hAnsi="Arial"/>
                <w:b/>
                <w:bCs/>
                <w:color w:val="000000"/>
                <w:sz w:val="17"/>
                <w:szCs w:val="17"/>
              </w:rPr>
              <w:t xml:space="preserve">90.0</w:t>
            </w:r>
          </w:p>
        </w:tc>
        <w:tc>
          <w:tcPr>
            <w:tcW w:type="dxa" w:w="1143"/>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val="false"/>
              <w:keepLines/>
              <w:spacing w:after="0" w:line="228"/>
              <w:jc w:val="center"/>
            </w:pPr>
            <w:r>
              <w:rPr>
                <w:rFonts w:ascii="Arial" w:cs="Arial" w:eastAsia="Arial" w:hAnsi="Arial"/>
                <w:b/>
                <w:bCs/>
                <w:color w:val="000000"/>
                <w:sz w:val="17"/>
                <w:szCs w:val="17"/>
              </w:rPr>
              <w:t xml:space="preserve">–</w:t>
            </w:r>
          </w:p>
        </w:tc>
      </w:tr>
    </w:tbl>
    <w:p>
      <w:pPr>
        <w:spacing w:after="100" w:before="20"/>
        <w:jc w:val="left"/>
      </w:pPr>
      <w:r>
        <w:rPr>
          <w:rFonts w:ascii="Arial" w:cs="Arial" w:eastAsia="Arial" w:hAnsi="Arial"/>
          <w:color w:val="52514E"/>
          <w:sz w:val="15"/>
          <w:szCs w:val="15"/>
        </w:rPr>
        <w:t xml:space="preserve">Nota: la pata en S/ calza exactamente con el servicio de deuda al BN, por lo que PETROPERÚ solo desembolsa las cuotas en US$. Elaboración: propia.</w:t>
      </w:r>
    </w:p>
    <w:p>
      <w:pPr>
        <w:keepNext/>
        <w:spacing w:after="40" w:before="60"/>
      </w:pPr>
      <w:r>
        <w:rPr>
          <w:rFonts w:ascii="Arial" w:cs="Arial" w:eastAsia="Arial" w:hAnsi="Arial"/>
          <w:b/>
          <w:bCs/>
          <w:i/>
          <w:iCs/>
          <w:sz w:val="22"/>
          <w:szCs w:val="22"/>
        </w:rPr>
        <w:t xml:space="preserve">1.3 Análisis de escenarios</w:t>
      </w:r>
    </w:p>
    <w:p>
      <w:pPr>
        <w:keepNext/>
        <w:spacing w:after="40" w:before="80"/>
        <w:jc w:val="center"/>
      </w:pPr>
      <w:r>
        <w:rPr>
          <w:rFonts w:ascii="Arial" w:cs="Arial" w:eastAsia="Arial" w:hAnsi="Arial"/>
          <w:b/>
          <w:bCs/>
          <w:sz w:val="17"/>
          <w:szCs w:val="17"/>
        </w:rPr>
        <w:t xml:space="preserve">Tabla N.° 6: Resultado por diferencia de cambio según escenario (US$ millones)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447"/>
        <w:gridCol w:w="1317"/>
        <w:gridCol w:w="1317"/>
        <w:gridCol w:w="1317"/>
        <w:gridCol w:w="1317"/>
        <w:gridCol w:w="1357"/>
      </w:tblGrid>
      <w:tr>
        <w:trPr>
          <w:cantSplit/>
          <w:tblHeader/>
        </w:trPr>
        <w:tc>
          <w:tcPr>
            <w:tcW w:type="dxa" w:w="2447"/>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left"/>
            </w:pPr>
            <w:r>
              <w:rPr>
                <w:rFonts w:ascii="Arial" w:cs="Arial" w:eastAsia="Arial" w:hAnsi="Arial"/>
                <w:b/>
                <w:bCs/>
                <w:color w:val="FFFFFF"/>
                <w:sz w:val="17"/>
                <w:szCs w:val="17"/>
              </w:rPr>
              <w:t xml:space="preserve">TC al cierre (S/ por US$)</w:t>
            </w:r>
          </w:p>
        </w:tc>
        <w:tc>
          <w:tcPr>
            <w:tcW w:type="dxa" w:w="1317"/>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3.030 (−10%)</w:t>
            </w:r>
          </w:p>
        </w:tc>
        <w:tc>
          <w:tcPr>
            <w:tcW w:type="dxa" w:w="1317"/>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3.200 (−5%)</w:t>
            </w:r>
          </w:p>
        </w:tc>
        <w:tc>
          <w:tcPr>
            <w:tcW w:type="dxa" w:w="1317"/>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3.367 (base)</w:t>
            </w:r>
          </w:p>
        </w:tc>
        <w:tc>
          <w:tcPr>
            <w:tcW w:type="dxa" w:w="1317"/>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3.540 (+5%)</w:t>
            </w:r>
          </w:p>
        </w:tc>
        <w:tc>
          <w:tcPr>
            <w:tcW w:type="dxa" w:w="1357"/>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3.700 (+10%)</w:t>
            </w:r>
          </w:p>
        </w:tc>
      </w:tr>
      <w:tr>
        <w:trPr>
          <w:cantSplit/>
          <w:tblHeader w:val="false"/>
        </w:trPr>
        <w:tc>
          <w:tcPr>
            <w:tcW w:type="dxa" w:w="244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b w:val="false"/>
                <w:bCs w:val="false"/>
                <w:color w:val="000000"/>
                <w:sz w:val="17"/>
                <w:szCs w:val="17"/>
              </w:rPr>
              <w:t xml:space="preserve">Sin cobertura (S/ −4,704 MM)</w:t>
            </w:r>
          </w:p>
        </w:tc>
        <w:tc>
          <w:tcPr>
            <w:tcW w:type="dxa" w:w="131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(155.4)</w:t>
            </w:r>
          </w:p>
        </w:tc>
        <w:tc>
          <w:tcPr>
            <w:tcW w:type="dxa" w:w="131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(72.9)</w:t>
            </w:r>
          </w:p>
        </w:tc>
        <w:tc>
          <w:tcPr>
            <w:tcW w:type="dxa" w:w="131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0.0</w:t>
            </w:r>
          </w:p>
        </w:tc>
        <w:tc>
          <w:tcPr>
            <w:tcW w:type="dxa" w:w="131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68.3</w:t>
            </w:r>
          </w:p>
        </w:tc>
        <w:tc>
          <w:tcPr>
            <w:tcW w:type="dxa" w:w="135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125.7</w:t>
            </w:r>
          </w:p>
        </w:tc>
      </w:tr>
      <w:tr>
        <w:trPr>
          <w:cantSplit/>
          <w:tblHeader w:val="false"/>
        </w:trPr>
        <w:tc>
          <w:tcPr>
            <w:tcW w:type="dxa" w:w="244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b w:val="false"/>
                <w:bCs w:val="false"/>
                <w:color w:val="000000"/>
                <w:sz w:val="17"/>
                <w:szCs w:val="17"/>
              </w:rPr>
              <w:t xml:space="preserve">Solo CCS (S/ −938 MM)</w:t>
            </w:r>
          </w:p>
        </w:tc>
        <w:tc>
          <w:tcPr>
            <w:tcW w:type="dxa" w:w="131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(31.0)</w:t>
            </w:r>
          </w:p>
        </w:tc>
        <w:tc>
          <w:tcPr>
            <w:tcW w:type="dxa" w:w="131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(14.5)</w:t>
            </w:r>
          </w:p>
        </w:tc>
        <w:tc>
          <w:tcPr>
            <w:tcW w:type="dxa" w:w="131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0.0</w:t>
            </w:r>
          </w:p>
        </w:tc>
        <w:tc>
          <w:tcPr>
            <w:tcW w:type="dxa" w:w="131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13.6</w:t>
            </w:r>
          </w:p>
        </w:tc>
        <w:tc>
          <w:tcPr>
            <w:tcW w:type="dxa" w:w="135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25.1</w:t>
            </w:r>
          </w:p>
        </w:tc>
      </w:tr>
      <w:tr>
        <w:trPr>
          <w:cantSplit/>
          <w:tblHeader w:val="false"/>
        </w:trPr>
        <w:tc>
          <w:tcPr>
            <w:tcW w:type="dxa" w:w="2447"/>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val="false"/>
              <w:keepLines/>
              <w:spacing w:after="0" w:line="228"/>
              <w:jc w:val="left"/>
            </w:pPr>
            <w:r>
              <w:rPr>
                <w:rFonts w:ascii="Arial" w:cs="Arial" w:eastAsia="Arial" w:hAnsi="Arial"/>
                <w:b/>
                <w:bCs/>
                <w:color w:val="000000"/>
                <w:sz w:val="17"/>
                <w:szCs w:val="17"/>
              </w:rPr>
              <w:t xml:space="preserve">CCS + NDF (S/ −188 MM)</w:t>
            </w:r>
          </w:p>
        </w:tc>
        <w:tc>
          <w:tcPr>
            <w:tcW w:type="dxa" w:w="1317"/>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val="false"/>
              <w:keepLines/>
              <w:spacing w:after="0" w:line="228"/>
              <w:jc w:val="center"/>
            </w:pPr>
            <w:r>
              <w:rPr>
                <w:rFonts w:ascii="Arial" w:cs="Arial" w:eastAsia="Arial" w:hAnsi="Arial"/>
                <w:b/>
                <w:bCs/>
                <w:color w:val="000000"/>
                <w:sz w:val="17"/>
                <w:szCs w:val="17"/>
              </w:rPr>
              <w:t xml:space="preserve">(6.2)</w:t>
            </w:r>
          </w:p>
        </w:tc>
        <w:tc>
          <w:tcPr>
            <w:tcW w:type="dxa" w:w="1317"/>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val="false"/>
              <w:keepLines/>
              <w:spacing w:after="0" w:line="228"/>
              <w:jc w:val="center"/>
            </w:pPr>
            <w:r>
              <w:rPr>
                <w:rFonts w:ascii="Arial" w:cs="Arial" w:eastAsia="Arial" w:hAnsi="Arial"/>
                <w:b/>
                <w:bCs/>
                <w:color w:val="000000"/>
                <w:sz w:val="17"/>
                <w:szCs w:val="17"/>
              </w:rPr>
              <w:t xml:space="preserve">(2.9)</w:t>
            </w:r>
          </w:p>
        </w:tc>
        <w:tc>
          <w:tcPr>
            <w:tcW w:type="dxa" w:w="1317"/>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val="false"/>
              <w:keepLines/>
              <w:spacing w:after="0" w:line="228"/>
              <w:jc w:val="center"/>
            </w:pPr>
            <w:r>
              <w:rPr>
                <w:rFonts w:ascii="Arial" w:cs="Arial" w:eastAsia="Arial" w:hAnsi="Arial"/>
                <w:b/>
                <w:bCs/>
                <w:color w:val="000000"/>
                <w:sz w:val="17"/>
                <w:szCs w:val="17"/>
              </w:rPr>
              <w:t xml:space="preserve">0.0</w:t>
            </w:r>
          </w:p>
        </w:tc>
        <w:tc>
          <w:tcPr>
            <w:tcW w:type="dxa" w:w="1317"/>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val="false"/>
              <w:keepLines/>
              <w:spacing w:after="0" w:line="228"/>
              <w:jc w:val="center"/>
            </w:pPr>
            <w:r>
              <w:rPr>
                <w:rFonts w:ascii="Arial" w:cs="Arial" w:eastAsia="Arial" w:hAnsi="Arial"/>
                <w:b/>
                <w:bCs/>
                <w:color w:val="000000"/>
                <w:sz w:val="17"/>
                <w:szCs w:val="17"/>
              </w:rPr>
              <w:t xml:space="preserve">2.7</w:t>
            </w:r>
          </w:p>
        </w:tc>
        <w:tc>
          <w:tcPr>
            <w:tcW w:type="dxa" w:w="1357"/>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val="false"/>
              <w:keepLines/>
              <w:spacing w:after="0" w:line="228"/>
              <w:jc w:val="center"/>
            </w:pPr>
            <w:r>
              <w:rPr>
                <w:rFonts w:ascii="Arial" w:cs="Arial" w:eastAsia="Arial" w:hAnsi="Arial"/>
                <w:b/>
                <w:bCs/>
                <w:color w:val="000000"/>
                <w:sz w:val="17"/>
                <w:szCs w:val="17"/>
              </w:rPr>
              <w:t xml:space="preserve">5.0</w:t>
            </w:r>
          </w:p>
        </w:tc>
      </w:tr>
    </w:tbl>
    <w:p>
      <w:pPr>
        <w:spacing w:after="100" w:before="20"/>
        <w:jc w:val="left"/>
      </w:pPr>
      <w:r>
        <w:rPr>
          <w:rFonts w:ascii="Arial" w:cs="Arial" w:eastAsia="Arial" w:hAnsi="Arial"/>
          <w:color w:val="52514E"/>
          <w:sz w:val="15"/>
          <w:szCs w:val="15"/>
        </w:rPr>
        <w:t xml:space="preserve">Fuente: EEFF 2025, Nota 3. Elaboración: propia.</w:t>
      </w:r>
    </w:p>
    <w:p>
      <w:pPr>
        <w:keepNext/>
        <w:spacing w:after="0"/>
        <w:jc w:val="center"/>
      </w:pPr>
      <w:r>
        <w:drawing>
          <wp:inline distT="0" distB="0" distL="0" distR="0">
            <wp:extent cx="5760720" cy="20665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2066544"/>
                    </a:xfrm>
                    <a:prstGeom prst="rect">
                      <a:avLst/>
                    </a:prstGeom>
                  </pic:spPr>
                </pic:pic>
              </a:graphicData>
            </a:graphic>
          </wp:inline>
        </w:drawing>
      </w:r>
    </w:p>
    <w:p>
      <w:pPr>
        <w:keepNext/>
        <w:spacing w:after="40" w:before="80"/>
        <w:jc w:val="center"/>
      </w:pPr>
      <w:r>
        <w:rPr>
          <w:rFonts w:ascii="Arial" w:cs="Arial" w:eastAsia="Arial" w:hAnsi="Arial"/>
          <w:b/>
          <w:bCs/>
          <w:sz w:val="17"/>
          <w:szCs w:val="17"/>
        </w:rPr>
        <w:t xml:space="preserve">Figura N.° 6: Sensibilidad del resultado cambiario con y sin cobertura</w:t>
      </w:r>
    </w:p>
    <w:p>
      <w:pPr>
        <w:spacing w:after="100" w:before="20"/>
        <w:jc w:val="left"/>
      </w:pPr>
      <w:r>
        <w:rPr>
          <w:rFonts w:ascii="Arial" w:cs="Arial" w:eastAsia="Arial" w:hAnsi="Arial"/>
          <w:color w:val="52514E"/>
          <w:sz w:val="15"/>
          <w:szCs w:val="15"/>
        </w:rPr>
        <w:t xml:space="preserve">Fuente: EEFF 2025, Nota 3. Elaboración: propia.</w:t>
      </w:r>
    </w:p>
    <w:p>
      <w:pPr>
        <w:spacing w:after="80" w:before="0" w:line="276"/>
        <w:jc w:val="both"/>
      </w:pPr>
      <w:r>
        <w:rPr>
          <w:rFonts w:ascii="Arial" w:cs="Arial" w:eastAsia="Arial" w:hAnsi="Arial"/>
          <w:sz w:val="22"/>
          <w:szCs w:val="22"/>
        </w:rPr>
        <w:t xml:space="preserve">La estrategia reduce la sensibilidad a un movimiento de 10% del tipo de cambio de US$ 140 MM a unos US$ 6 MM (−96%). A cambio, la Compañía renuncia a las ganancias que tendría si el sol se deprecia: el objetivo es </w:t>
      </w:r>
      <w:r>
        <w:rPr>
          <w:rFonts w:ascii="Arial" w:cs="Arial" w:eastAsia="Arial" w:hAnsi="Arial"/>
          <w:b/>
          <w:bCs/>
          <w:sz w:val="22"/>
          <w:szCs w:val="22"/>
        </w:rPr>
        <w:t xml:space="preserve">estabilizar resultados y flujos</w:t>
      </w:r>
      <w:r>
        <w:rPr>
          <w:rFonts w:ascii="Arial" w:cs="Arial" w:eastAsia="Arial" w:hAnsi="Arial"/>
          <w:sz w:val="22"/>
          <w:szCs w:val="22"/>
        </w:rPr>
        <w:t xml:space="preserve">, no especular. El CCS califica como </w:t>
      </w:r>
      <w:r>
        <w:rPr>
          <w:rFonts w:ascii="Arial" w:cs="Arial" w:eastAsia="Arial" w:hAnsi="Arial"/>
          <w:b/>
          <w:bCs/>
          <w:sz w:val="22"/>
          <w:szCs w:val="22"/>
        </w:rPr>
        <w:t xml:space="preserve">cobertura de flujos de efectivo según la NIIF 9</w:t>
      </w:r>
      <w:r>
        <w:rPr>
          <w:rFonts w:ascii="Arial" w:cs="Arial" w:eastAsia="Arial" w:hAnsi="Arial"/>
          <w:sz w:val="22"/>
          <w:szCs w:val="22"/>
        </w:rPr>
        <w:t xml:space="preserve">. Como el nocional, las fechas y la tasa coinciden con los del préstamo, la relación económica es prácticamente perfecta y las variaciones del derivado se registran en otro resultado integral, con lo que se evita la volatilidad contable.</w:t>
      </w:r>
    </w:p>
    <w:p>
      <w:pPr>
        <w:keepNext/>
        <w:spacing w:after="60" w:before="100"/>
      </w:pPr>
      <w:r>
        <w:rPr>
          <w:rFonts w:ascii="Arial" w:cs="Arial" w:eastAsia="Arial" w:hAnsi="Arial"/>
          <w:b/>
          <w:bCs/>
          <w:color w:val="1F3864"/>
          <w:sz w:val="20"/>
          <w:szCs w:val="20"/>
        </w:rPr>
        <w:t xml:space="preserve">Estrategia 2: Swaps y collar de costo cero sobre WTI para el inventario de crudo</w:t>
      </w:r>
    </w:p>
    <w:p>
      <w:pPr>
        <w:keepNext/>
        <w:spacing w:after="40" w:before="60"/>
      </w:pPr>
      <w:r>
        <w:rPr>
          <w:rFonts w:ascii="Arial" w:cs="Arial" w:eastAsia="Arial" w:hAnsi="Arial"/>
          <w:b/>
          <w:bCs/>
          <w:i/>
          <w:iCs/>
          <w:sz w:val="22"/>
          <w:szCs w:val="22"/>
        </w:rPr>
        <w:t xml:space="preserve">2.1 Diseño</w:t>
      </w:r>
    </w:p>
    <w:p>
      <w:pPr>
        <w:spacing w:after="80" w:before="0" w:line="276"/>
        <w:jc w:val="both"/>
      </w:pPr>
      <w:r>
        <w:rPr>
          <w:rFonts w:ascii="Arial" w:cs="Arial" w:eastAsia="Arial" w:hAnsi="Arial"/>
          <w:sz w:val="22"/>
          <w:szCs w:val="22"/>
        </w:rPr>
        <w:t xml:space="preserve">La exposición a cubrir es el valor del inventario de crudo: 2.901 MMbl × US$ 57.42 = </w:t>
      </w:r>
      <w:r>
        <w:rPr>
          <w:rFonts w:ascii="Arial" w:cs="Arial" w:eastAsia="Arial" w:hAnsi="Arial"/>
          <w:b/>
          <w:bCs/>
          <w:sz w:val="22"/>
          <w:szCs w:val="22"/>
        </w:rPr>
        <w:t xml:space="preserve">US$ 166.6 MM</w:t>
      </w:r>
      <w:r>
        <w:rPr>
          <w:rFonts w:ascii="Arial" w:cs="Arial" w:eastAsia="Arial" w:hAnsi="Arial"/>
          <w:sz w:val="22"/>
          <w:szCs w:val="22"/>
        </w:rPr>
        <w:t xml:space="preserve">, con una rotación de uno a tres meses. Se proponen dos instrumentos OTC complementarios, en lugar de futuros NYMEX, porque los futuros exigen márgenes diarios que la posición de liquidez no soporta: (a) un </w:t>
      </w:r>
      <w:r>
        <w:rPr>
          <w:rFonts w:ascii="Arial" w:cs="Arial" w:eastAsia="Arial" w:hAnsi="Arial"/>
          <w:b/>
          <w:bCs/>
          <w:sz w:val="22"/>
          <w:szCs w:val="22"/>
        </w:rPr>
        <w:t xml:space="preserve">swap de WTI</w:t>
      </w:r>
      <w:r>
        <w:rPr>
          <w:rFonts w:ascii="Arial" w:cs="Arial" w:eastAsia="Arial" w:hAnsi="Arial"/>
          <w:sz w:val="22"/>
          <w:szCs w:val="22"/>
        </w:rPr>
        <w:t xml:space="preserve"> en el que PETROPERÚ vende a precio fijo el promedio mensual, sin costo inicial, para los cargamentos ya comprados y aún no vendidos; y (b) un </w:t>
      </w:r>
      <w:r>
        <w:rPr>
          <w:rFonts w:ascii="Arial" w:cs="Arial" w:eastAsia="Arial" w:hAnsi="Arial"/>
          <w:b/>
          <w:bCs/>
          <w:sz w:val="22"/>
          <w:szCs w:val="22"/>
        </w:rPr>
        <w:t xml:space="preserve">collar de costo cero</w:t>
      </w:r>
      <w:r>
        <w:rPr>
          <w:rFonts w:ascii="Arial" w:cs="Arial" w:eastAsia="Arial" w:hAnsi="Arial"/>
          <w:sz w:val="22"/>
          <w:szCs w:val="22"/>
        </w:rPr>
        <w:t xml:space="preserve"> para el inventario base: compra de un put con strike de US$ 52.00, que fija un piso 9.4% por debajo del precio actual, financiada con la venta de un call cuyo strike se calcula para que la prima neta sea cero. Las opciones se valorizan con el modelo de Black (1976) para opciones sobre futuros:</w:t>
      </w:r>
    </w:p>
    <w:p>
      <w:pPr>
        <w:spacing w:after="60" w:before="20"/>
        <w:jc w:val="center"/>
      </w:pPr>
      <w:r>
        <w:rPr>
          <w:rFonts w:ascii="Cambria" w:cs="Cambria" w:eastAsia="Cambria" w:hAnsi="Cambria"/>
          <w:i/>
          <w:iCs/>
          <w:sz w:val="22"/>
          <w:szCs w:val="22"/>
        </w:rPr>
        <w:t xml:space="preserve">Put = e^(−rT)·[K·N(−d₂) − F·N(−d₁)],   d₁ = [ln(F/K) + σ²T/2] / (σ√T),   d₂ = d₁ − σ√T</w:t>
      </w:r>
    </w:p>
    <w:p>
      <w:pPr>
        <w:keepNext/>
        <w:spacing w:after="40" w:before="80"/>
        <w:jc w:val="center"/>
      </w:pPr>
      <w:r>
        <w:rPr>
          <w:rFonts w:ascii="Arial" w:cs="Arial" w:eastAsia="Arial" w:hAnsi="Arial"/>
          <w:b/>
          <w:bCs/>
          <w:sz w:val="17"/>
          <w:szCs w:val="17"/>
        </w:rPr>
        <w:t xml:space="preserve">Tabla N.° 7: Parámetros y valorización del collar sobre WTI</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3953"/>
        <w:gridCol w:w="2164"/>
        <w:gridCol w:w="2955"/>
      </w:tblGrid>
      <w:tr>
        <w:trPr>
          <w:cantSplit/>
          <w:tblHeader/>
        </w:trPr>
        <w:tc>
          <w:tcPr>
            <w:tcW w:type="dxa" w:w="3953"/>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left"/>
            </w:pPr>
            <w:r>
              <w:rPr>
                <w:rFonts w:ascii="Arial" w:cs="Arial" w:eastAsia="Arial" w:hAnsi="Arial"/>
                <w:b/>
                <w:bCs/>
                <w:color w:val="FFFFFF"/>
                <w:sz w:val="17"/>
                <w:szCs w:val="17"/>
              </w:rPr>
              <w:t xml:space="preserve">Parámetro</w:t>
            </w:r>
          </w:p>
        </w:tc>
        <w:tc>
          <w:tcPr>
            <w:tcW w:type="dxa" w:w="2164"/>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Valor</w:t>
            </w:r>
          </w:p>
        </w:tc>
        <w:tc>
          <w:tcPr>
            <w:tcW w:type="dxa" w:w="2955"/>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Fuente / supuesto</w:t>
            </w:r>
          </w:p>
        </w:tc>
      </w:tr>
      <w:tr>
        <w:trPr>
          <w:cantSplit/>
          <w:tblHeader w:val="false"/>
        </w:trPr>
        <w:tc>
          <w:tcPr>
            <w:tcW w:type="dxa" w:w="395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Precio de referencia (F)</w:t>
            </w:r>
          </w:p>
        </w:tc>
        <w:tc>
          <w:tcPr>
            <w:tcW w:type="dxa" w:w="216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US$ 57.42/bl</w:t>
            </w:r>
          </w:p>
        </w:tc>
        <w:tc>
          <w:tcPr>
            <w:tcW w:type="dxa" w:w="2955"/>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Cierre de 2025 (Nota 10)</w:t>
            </w:r>
          </w:p>
        </w:tc>
      </w:tr>
      <w:tr>
        <w:trPr>
          <w:cantSplit/>
          <w:tblHeader w:val="false"/>
        </w:trPr>
        <w:tc>
          <w:tcPr>
            <w:tcW w:type="dxa" w:w="395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Volumen cubierto</w:t>
            </w:r>
          </w:p>
        </w:tc>
        <w:tc>
          <w:tcPr>
            <w:tcW w:type="dxa" w:w="216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2.901 MMbl (2,901 contratos de 1,000 bl)</w:t>
            </w:r>
          </w:p>
        </w:tc>
        <w:tc>
          <w:tcPr>
            <w:tcW w:type="dxa" w:w="2955"/>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Inventario de crudo (Nota 10)</w:t>
            </w:r>
          </w:p>
        </w:tc>
      </w:tr>
      <w:tr>
        <w:trPr>
          <w:cantSplit/>
          <w:tblHeader w:val="false"/>
        </w:trPr>
        <w:tc>
          <w:tcPr>
            <w:tcW w:type="dxa" w:w="395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Volatilidad (σ) | plazo (T) | tasa (r)</w:t>
            </w:r>
          </w:p>
        </w:tc>
        <w:tc>
          <w:tcPr>
            <w:tcW w:type="dxa" w:w="216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24.7% | 0.25 años | 3.80%</w:t>
            </w:r>
          </w:p>
        </w:tc>
        <w:tc>
          <w:tcPr>
            <w:tcW w:type="dxa" w:w="2955"/>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Histórica del WTI 2021–2025 (BCRP) | SOFR</w:t>
            </w:r>
          </w:p>
        </w:tc>
      </w:tr>
      <w:tr>
        <w:trPr>
          <w:cantSplit/>
          <w:tblHeader w:val="false"/>
        </w:trPr>
        <w:tc>
          <w:tcPr>
            <w:tcW w:type="dxa" w:w="395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Put comprado: strike | prima</w:t>
            </w:r>
          </w:p>
        </w:tc>
        <w:tc>
          <w:tcPr>
            <w:tcW w:type="dxa" w:w="216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US$ 52.00 | US$ 0.80/bl</w:t>
            </w:r>
          </w:p>
        </w:tc>
        <w:tc>
          <w:tcPr>
            <w:tcW w:type="dxa" w:w="2955"/>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Delta −0.19; costo total US$ 2.33 MM</w:t>
            </w:r>
          </w:p>
        </w:tc>
      </w:tr>
      <w:tr>
        <w:trPr>
          <w:cantSplit/>
          <w:tblHeader w:val="false"/>
        </w:trPr>
        <w:tc>
          <w:tcPr>
            <w:tcW w:type="dxa" w:w="395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Call vendido: strike de costo cero</w:t>
            </w:r>
          </w:p>
        </w:tc>
        <w:tc>
          <w:tcPr>
            <w:tcW w:type="dxa" w:w="216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US$ 63.86/bl</w:t>
            </w:r>
          </w:p>
        </w:tc>
        <w:tc>
          <w:tcPr>
            <w:tcW w:type="dxa" w:w="2955"/>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Prima igual a la del put</w:t>
            </w:r>
          </w:p>
        </w:tc>
      </w:tr>
      <w:tr>
        <w:trPr>
          <w:cantSplit/>
          <w:tblHeader w:val="false"/>
        </w:trPr>
        <w:tc>
          <w:tcPr>
            <w:tcW w:type="dxa" w:w="3953"/>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left"/>
            </w:pPr>
            <w:r>
              <w:rPr>
                <w:rFonts w:ascii="Arial" w:cs="Arial" w:eastAsia="Arial" w:hAnsi="Arial"/>
                <w:color w:val="000000"/>
                <w:sz w:val="17"/>
                <w:szCs w:val="17"/>
              </w:rPr>
              <w:t xml:space="preserve">Pérdida máxima del inventario con collar</w:t>
            </w:r>
          </w:p>
        </w:tc>
        <w:tc>
          <w:tcPr>
            <w:tcW w:type="dxa" w:w="216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US$ 15.7 MM</w:t>
            </w:r>
          </w:p>
        </w:tc>
        <w:tc>
          <w:tcPr>
            <w:tcW w:type="dxa" w:w="2955"/>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Frente a US$ 50.0 MM con WTI −30%</w:t>
            </w:r>
          </w:p>
        </w:tc>
      </w:tr>
    </w:tbl>
    <w:p>
      <w:pPr>
        <w:spacing w:after="100" w:before="20"/>
        <w:jc w:val="left"/>
      </w:pPr>
      <w:r>
        <w:rPr>
          <w:rFonts w:ascii="Arial" w:cs="Arial" w:eastAsia="Arial" w:hAnsi="Arial"/>
          <w:color w:val="52514E"/>
          <w:sz w:val="15"/>
          <w:szCs w:val="15"/>
        </w:rPr>
        <w:t xml:space="preserve">Fuente: EEFF 2025; BCRP; FRBNY. Elaboración: propia con el modelo de Black (1976).</w:t>
      </w:r>
    </w:p>
    <w:p>
      <w:pPr>
        <w:keepNext/>
        <w:spacing w:after="40" w:before="60"/>
      </w:pPr>
      <w:r>
        <w:rPr>
          <w:rFonts w:ascii="Arial" w:cs="Arial" w:eastAsia="Arial" w:hAnsi="Arial"/>
          <w:b/>
          <w:bCs/>
          <w:i/>
          <w:iCs/>
          <w:sz w:val="22"/>
          <w:szCs w:val="22"/>
        </w:rPr>
        <w:t xml:space="preserve">2.2 Análisis de escenarios</w:t>
      </w:r>
    </w:p>
    <w:p>
      <w:pPr>
        <w:keepNext/>
        <w:spacing w:after="40" w:before="80"/>
        <w:jc w:val="center"/>
      </w:pPr>
      <w:r>
        <w:rPr>
          <w:rFonts w:ascii="Arial" w:cs="Arial" w:eastAsia="Arial" w:hAnsi="Arial"/>
          <w:b/>
          <w:bCs/>
          <w:sz w:val="17"/>
          <w:szCs w:val="17"/>
        </w:rPr>
        <w:t xml:space="preserve">Tabla N.° 8: Resultado sobre el inventario de crudo al vencimiento (US$ millones)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978"/>
        <w:gridCol w:w="978"/>
        <w:gridCol w:w="978"/>
        <w:gridCol w:w="978"/>
        <w:gridCol w:w="978"/>
        <w:gridCol w:w="978"/>
        <w:gridCol w:w="1004"/>
      </w:tblGrid>
      <w:tr>
        <w:trPr>
          <w:cantSplit/>
          <w:tblHeader/>
        </w:trPr>
        <w:tc>
          <w:tcPr>
            <w:tcW w:type="dxa" w:w="2200"/>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left"/>
            </w:pPr>
            <w:r>
              <w:rPr>
                <w:rFonts w:ascii="Arial" w:cs="Arial" w:eastAsia="Arial" w:hAnsi="Arial"/>
                <w:b/>
                <w:bCs/>
                <w:color w:val="FFFFFF"/>
                <w:sz w:val="17"/>
                <w:szCs w:val="17"/>
              </w:rPr>
              <w:t xml:space="preserve">Variación del WTI</w:t>
            </w:r>
          </w:p>
        </w:tc>
        <w:tc>
          <w:tcPr>
            <w:tcW w:type="dxa" w:w="97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−30%</w:t>
            </w:r>
          </w:p>
        </w:tc>
        <w:tc>
          <w:tcPr>
            <w:tcW w:type="dxa" w:w="97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−20%</w:t>
            </w:r>
          </w:p>
        </w:tc>
        <w:tc>
          <w:tcPr>
            <w:tcW w:type="dxa" w:w="97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−10%</w:t>
            </w:r>
          </w:p>
        </w:tc>
        <w:tc>
          <w:tcPr>
            <w:tcW w:type="dxa" w:w="97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0%</w:t>
            </w:r>
          </w:p>
        </w:tc>
        <w:tc>
          <w:tcPr>
            <w:tcW w:type="dxa" w:w="97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+10%</w:t>
            </w:r>
          </w:p>
        </w:tc>
        <w:tc>
          <w:tcPr>
            <w:tcW w:type="dxa" w:w="97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+20%</w:t>
            </w:r>
          </w:p>
        </w:tc>
        <w:tc>
          <w:tcPr>
            <w:tcW w:type="dxa" w:w="1004"/>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+30%</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b w:val="false"/>
                <w:bCs w:val="false"/>
                <w:color w:val="000000"/>
                <w:sz w:val="17"/>
                <w:szCs w:val="17"/>
              </w:rPr>
              <w:t xml:space="preserve">Precio WTI (US$/bl)</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40.19</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45.94</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51.68</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57.42</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63.16</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68.90</w:t>
            </w:r>
          </w:p>
        </w:tc>
        <w:tc>
          <w:tcPr>
            <w:tcW w:type="dxa" w:w="100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74.65</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b w:val="false"/>
                <w:bCs w:val="false"/>
                <w:color w:val="000000"/>
                <w:sz w:val="17"/>
                <w:szCs w:val="17"/>
              </w:rPr>
              <w:t xml:space="preserve">Sin cobertura</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(50.0)</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(33.3)</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(16.7)</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0.0</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16.7</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33.3</w:t>
            </w:r>
          </w:p>
        </w:tc>
        <w:tc>
          <w:tcPr>
            <w:tcW w:type="dxa" w:w="100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50.0</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b w:val="false"/>
                <w:bCs w:val="false"/>
                <w:color w:val="000000"/>
                <w:sz w:val="17"/>
                <w:szCs w:val="17"/>
              </w:rPr>
              <w:t xml:space="preserve">Con swap (venta a 57.42)</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0.0</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0.0</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0.0</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0.0</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0.0</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0.0</w:t>
            </w:r>
          </w:p>
        </w:tc>
        <w:tc>
          <w:tcPr>
            <w:tcW w:type="dxa" w:w="100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b w:val="false"/>
                <w:bCs w:val="false"/>
                <w:color w:val="000000"/>
                <w:sz w:val="17"/>
                <w:szCs w:val="17"/>
              </w:rPr>
              <w:t xml:space="preserve">0.0</w:t>
            </w:r>
          </w:p>
        </w:tc>
      </w:tr>
      <w:tr>
        <w:trPr>
          <w:cantSplit/>
          <w:tblHeader w:val="false"/>
        </w:trPr>
        <w:tc>
          <w:tcPr>
            <w:tcW w:type="dxa" w:w="2200"/>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keepLines/>
              <w:spacing w:after="0" w:line="228"/>
              <w:jc w:val="left"/>
            </w:pPr>
            <w:r>
              <w:rPr>
                <w:rFonts w:ascii="Arial" w:cs="Arial" w:eastAsia="Arial" w:hAnsi="Arial"/>
                <w:b/>
                <w:bCs/>
                <w:color w:val="000000"/>
                <w:sz w:val="17"/>
                <w:szCs w:val="17"/>
              </w:rPr>
              <w:t xml:space="preserve">Con collar 52.00 / 63.86</w:t>
            </w:r>
          </w:p>
        </w:tc>
        <w:tc>
          <w:tcPr>
            <w:tcW w:type="dxa" w:w="978"/>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000000"/>
                <w:sz w:val="17"/>
                <w:szCs w:val="17"/>
              </w:rPr>
              <w:t xml:space="preserve">(15.7)</w:t>
            </w:r>
          </w:p>
        </w:tc>
        <w:tc>
          <w:tcPr>
            <w:tcW w:type="dxa" w:w="978"/>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000000"/>
                <w:sz w:val="17"/>
                <w:szCs w:val="17"/>
              </w:rPr>
              <w:t xml:space="preserve">(15.7)</w:t>
            </w:r>
          </w:p>
        </w:tc>
        <w:tc>
          <w:tcPr>
            <w:tcW w:type="dxa" w:w="978"/>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000000"/>
                <w:sz w:val="17"/>
                <w:szCs w:val="17"/>
              </w:rPr>
              <w:t xml:space="preserve">(15.7)</w:t>
            </w:r>
          </w:p>
        </w:tc>
        <w:tc>
          <w:tcPr>
            <w:tcW w:type="dxa" w:w="978"/>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000000"/>
                <w:sz w:val="17"/>
                <w:szCs w:val="17"/>
              </w:rPr>
              <w:t xml:space="preserve">0.0</w:t>
            </w:r>
          </w:p>
        </w:tc>
        <w:tc>
          <w:tcPr>
            <w:tcW w:type="dxa" w:w="978"/>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000000"/>
                <w:sz w:val="17"/>
                <w:szCs w:val="17"/>
              </w:rPr>
              <w:t xml:space="preserve">16.7</w:t>
            </w:r>
          </w:p>
        </w:tc>
        <w:tc>
          <w:tcPr>
            <w:tcW w:type="dxa" w:w="978"/>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000000"/>
                <w:sz w:val="17"/>
                <w:szCs w:val="17"/>
              </w:rPr>
              <w:t xml:space="preserve">18.7</w:t>
            </w:r>
          </w:p>
        </w:tc>
        <w:tc>
          <w:tcPr>
            <w:tcW w:type="dxa" w:w="1004"/>
            <w:tcBorders>
              <w:top w:val="single" w:color="A6A6A6" w:sz="4"/>
              <w:left w:val="single" w:color="A6A6A6" w:sz="4"/>
              <w:bottom w:val="single" w:color="A6A6A6" w:sz="4"/>
              <w:right w:val="single" w:color="A6A6A6" w:sz="4"/>
            </w:tcBorders>
            <w:shd w:fill="E8EEF7"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000000"/>
                <w:sz w:val="17"/>
                <w:szCs w:val="17"/>
              </w:rPr>
              <w:t xml:space="preserve">18.7</w:t>
            </w:r>
          </w:p>
        </w:tc>
      </w:tr>
      <w:tr>
        <w:trPr>
          <w:cantSplit/>
          <w:tblHeader w:val="false"/>
        </w:trPr>
        <w:tc>
          <w:tcPr>
            <w:tcW w:type="dxa" w:w="220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left"/>
            </w:pPr>
            <w:r>
              <w:rPr>
                <w:rFonts w:ascii="Arial" w:cs="Arial" w:eastAsia="Arial" w:hAnsi="Arial"/>
                <w:b w:val="false"/>
                <w:bCs w:val="false"/>
                <w:color w:val="000000"/>
                <w:sz w:val="17"/>
                <w:szCs w:val="17"/>
              </w:rPr>
              <w:t xml:space="preserve">Con put solo (prima pagada)</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b w:val="false"/>
                <w:bCs w:val="false"/>
                <w:color w:val="000000"/>
                <w:sz w:val="17"/>
                <w:szCs w:val="17"/>
              </w:rPr>
              <w:t xml:space="preserve">(18.0)</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b w:val="false"/>
                <w:bCs w:val="false"/>
                <w:color w:val="000000"/>
                <w:sz w:val="17"/>
                <w:szCs w:val="17"/>
              </w:rPr>
              <w:t xml:space="preserve">(18.0)</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b w:val="false"/>
                <w:bCs w:val="false"/>
                <w:color w:val="000000"/>
                <w:sz w:val="17"/>
                <w:szCs w:val="17"/>
              </w:rPr>
              <w:t xml:space="preserve">(18.0)</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b w:val="false"/>
                <w:bCs w:val="false"/>
                <w:color w:val="000000"/>
                <w:sz w:val="17"/>
                <w:szCs w:val="17"/>
              </w:rPr>
              <w:t xml:space="preserve">(2.3)</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b w:val="false"/>
                <w:bCs w:val="false"/>
                <w:color w:val="000000"/>
                <w:sz w:val="17"/>
                <w:szCs w:val="17"/>
              </w:rPr>
              <w:t xml:space="preserve">14.3</w:t>
            </w:r>
          </w:p>
        </w:tc>
        <w:tc>
          <w:tcPr>
            <w:tcW w:type="dxa" w:w="97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b w:val="false"/>
                <w:bCs w:val="false"/>
                <w:color w:val="000000"/>
                <w:sz w:val="17"/>
                <w:szCs w:val="17"/>
              </w:rPr>
              <w:t xml:space="preserve">31.0</w:t>
            </w:r>
          </w:p>
        </w:tc>
        <w:tc>
          <w:tcPr>
            <w:tcW w:type="dxa" w:w="1004"/>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b w:val="false"/>
                <w:bCs w:val="false"/>
                <w:color w:val="000000"/>
                <w:sz w:val="17"/>
                <w:szCs w:val="17"/>
              </w:rPr>
              <w:t xml:space="preserve">47.6</w:t>
            </w:r>
          </w:p>
        </w:tc>
      </w:tr>
    </w:tbl>
    <w:p>
      <w:pPr>
        <w:spacing w:after="100" w:before="20"/>
        <w:jc w:val="left"/>
      </w:pPr>
      <w:r>
        <w:rPr>
          <w:rFonts w:ascii="Arial" w:cs="Arial" w:eastAsia="Arial" w:hAnsi="Arial"/>
          <w:color w:val="52514E"/>
          <w:sz w:val="15"/>
          <w:szCs w:val="15"/>
        </w:rPr>
        <w:t xml:space="preserve">Fuente: EEFF 2025, Nota 10. Elaboración: propia.</w:t>
      </w:r>
    </w:p>
    <w:p>
      <w:pPr>
        <w:keepNext/>
        <w:spacing w:after="0"/>
        <w:jc w:val="center"/>
      </w:pPr>
      <w:r>
        <w:drawing>
          <wp:inline distT="0" distB="0" distL="0" distR="0">
            <wp:extent cx="5760720" cy="21579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0720" cy="2157984"/>
                    </a:xfrm>
                    <a:prstGeom prst="rect">
                      <a:avLst/>
                    </a:prstGeom>
                  </pic:spPr>
                </pic:pic>
              </a:graphicData>
            </a:graphic>
          </wp:inline>
        </w:drawing>
      </w:r>
    </w:p>
    <w:p>
      <w:pPr>
        <w:keepNext/>
        <w:spacing w:after="40" w:before="80"/>
        <w:jc w:val="center"/>
      </w:pPr>
      <w:r>
        <w:rPr>
          <w:rFonts w:ascii="Arial" w:cs="Arial" w:eastAsia="Arial" w:hAnsi="Arial"/>
          <w:b/>
          <w:bCs/>
          <w:sz w:val="17"/>
          <w:szCs w:val="17"/>
        </w:rPr>
        <w:t xml:space="preserve">Figura N.° 7: Perfil de resultados de la cobertura del inventario de crudo</w:t>
      </w:r>
    </w:p>
    <w:p>
      <w:pPr>
        <w:spacing w:after="100" w:before="20"/>
        <w:jc w:val="left"/>
      </w:pPr>
      <w:r>
        <w:rPr>
          <w:rFonts w:ascii="Arial" w:cs="Arial" w:eastAsia="Arial" w:hAnsi="Arial"/>
          <w:color w:val="52514E"/>
          <w:sz w:val="15"/>
          <w:szCs w:val="15"/>
        </w:rPr>
        <w:t xml:space="preserve">Fuente: EEFF 2025, Nota 10; BCRP. Elaboración: propia.</w:t>
      </w:r>
    </w:p>
    <w:p>
      <w:pPr>
        <w:spacing w:after="80" w:before="0" w:line="276"/>
        <w:jc w:val="both"/>
      </w:pPr>
      <w:r>
        <w:rPr>
          <w:rFonts w:ascii="Arial" w:cs="Arial" w:eastAsia="Arial" w:hAnsi="Arial"/>
          <w:sz w:val="22"/>
          <w:szCs w:val="22"/>
        </w:rPr>
        <w:t xml:space="preserve">El </w:t>
      </w:r>
      <w:r>
        <w:rPr>
          <w:rFonts w:ascii="Arial" w:cs="Arial" w:eastAsia="Arial" w:hAnsi="Arial"/>
          <w:b/>
          <w:bCs/>
          <w:sz w:val="22"/>
          <w:szCs w:val="22"/>
        </w:rPr>
        <w:t xml:space="preserve">swap</w:t>
      </w:r>
      <w:r>
        <w:rPr>
          <w:rFonts w:ascii="Arial" w:cs="Arial" w:eastAsia="Arial" w:hAnsi="Arial"/>
          <w:sz w:val="22"/>
          <w:szCs w:val="22"/>
        </w:rPr>
        <w:t xml:space="preserve"> elimina la variabilidad del precio, pero también el beneficio de un alza, y es adecuado para los cargamentos cuyo margen ya está definido. El </w:t>
      </w:r>
      <w:r>
        <w:rPr>
          <w:rFonts w:ascii="Arial" w:cs="Arial" w:eastAsia="Arial" w:hAnsi="Arial"/>
          <w:b/>
          <w:bCs/>
          <w:sz w:val="22"/>
          <w:szCs w:val="22"/>
        </w:rPr>
        <w:t xml:space="preserve">collar</w:t>
      </w:r>
      <w:r>
        <w:rPr>
          <w:rFonts w:ascii="Arial" w:cs="Arial" w:eastAsia="Arial" w:hAnsi="Arial"/>
          <w:sz w:val="22"/>
          <w:szCs w:val="22"/>
        </w:rPr>
        <w:t xml:space="preserve"> limita la pérdida máxima a US$ 15.7 MM, conserva la ganancia hasta US$ 63.86/bl y no requiere una prima que la caja no puede financiar. El </w:t>
      </w:r>
      <w:r>
        <w:rPr>
          <w:rFonts w:ascii="Arial" w:cs="Arial" w:eastAsia="Arial" w:hAnsi="Arial"/>
          <w:b/>
          <w:bCs/>
          <w:sz w:val="22"/>
          <w:szCs w:val="22"/>
        </w:rPr>
        <w:t xml:space="preserve">put solo</w:t>
      </w:r>
      <w:r>
        <w:rPr>
          <w:rFonts w:ascii="Arial" w:cs="Arial" w:eastAsia="Arial" w:hAnsi="Arial"/>
          <w:sz w:val="22"/>
          <w:szCs w:val="22"/>
        </w:rPr>
        <w:t xml:space="preserve"> conserva todo el potencial alcista, pero cuesta US$ 2.33 MM por trimestre (unos US$ 9.3 MM al año). El principal riesgo residual es el </w:t>
      </w:r>
      <w:r>
        <w:rPr>
          <w:rFonts w:ascii="Arial" w:cs="Arial" w:eastAsia="Arial" w:hAnsi="Arial"/>
          <w:b/>
          <w:bCs/>
          <w:sz w:val="22"/>
          <w:szCs w:val="22"/>
        </w:rPr>
        <w:t xml:space="preserve">riesgo de base</w:t>
      </w:r>
      <w:r>
        <w:rPr>
          <w:rFonts w:ascii="Arial" w:cs="Arial" w:eastAsia="Arial" w:hAnsi="Arial"/>
          <w:sz w:val="22"/>
          <w:szCs w:val="22"/>
        </w:rPr>
        <w:t xml:space="preserve">: PETROPERÚ compra crudos con precios referidos al Brent y crudos pesados con descuento, que no replican exactamente al WTI. El ratio de cobertura debe estimarse como h* = ρ·σ(S)/σ(F) con la serie interna de costos de compra, y conviene usar Brent cuando los contratos de suministro estén indexados a ese marcador. Este mismo esquema puede extenderse al inventario de productos (US$ 313.5 MM) con swaps de diésel y gasolina en la Costa del Golfo de EE. UU. (USGC).</w:t>
      </w:r>
    </w:p>
    <w:p>
      <w:pPr>
        <w:keepNext/>
        <w:pBdr>
          <w:bottom w:val="single" w:color="1F3864" w:sz="6" w:space="1"/>
        </w:pBdr>
        <w:spacing w:after="80" w:before="140"/>
      </w:pPr>
      <w:r>
        <w:rPr>
          <w:rFonts w:ascii="Arial" w:cs="Arial" w:eastAsia="Arial" w:hAnsi="Arial"/>
          <w:b/>
          <w:bCs/>
          <w:color w:val="1F3864"/>
          <w:sz w:val="22"/>
          <w:szCs w:val="22"/>
        </w:rPr>
        <w:t xml:space="preserve">IV. ANÁLISIS COMPARATIVO E IMPLEMENTACIÓN</w:t>
      </w:r>
    </w:p>
    <w:p>
      <w:pPr>
        <w:keepNext/>
        <w:spacing w:after="40" w:before="80"/>
        <w:jc w:val="center"/>
      </w:pPr>
      <w:r>
        <w:rPr>
          <w:rFonts w:ascii="Arial" w:cs="Arial" w:eastAsia="Arial" w:hAnsi="Arial"/>
          <w:b/>
          <w:bCs/>
          <w:sz w:val="17"/>
          <w:szCs w:val="17"/>
        </w:rPr>
        <w:t xml:space="preserve">Tabla N.° 9: Comparación de las estrategias propuestas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788"/>
        <w:gridCol w:w="2447"/>
        <w:gridCol w:w="2447"/>
        <w:gridCol w:w="2390"/>
      </w:tblGrid>
      <w:tr>
        <w:trPr>
          <w:cantSplit/>
          <w:tblHeader/>
        </w:trPr>
        <w:tc>
          <w:tcPr>
            <w:tcW w:type="dxa" w:w="178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left"/>
            </w:pPr>
            <w:r>
              <w:rPr>
                <w:rFonts w:ascii="Arial" w:cs="Arial" w:eastAsia="Arial" w:hAnsi="Arial"/>
                <w:b/>
                <w:bCs/>
                <w:color w:val="FFFFFF"/>
                <w:sz w:val="17"/>
                <w:szCs w:val="17"/>
              </w:rPr>
              <w:t xml:space="preserve">Criterio</w:t>
            </w:r>
          </w:p>
        </w:tc>
        <w:tc>
          <w:tcPr>
            <w:tcW w:type="dxa" w:w="2447"/>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Estrategia 1: CCS + NDF</w:t>
            </w:r>
          </w:p>
        </w:tc>
        <w:tc>
          <w:tcPr>
            <w:tcW w:type="dxa" w:w="2447"/>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Estrategia 2: swap + collar WTI</w:t>
            </w:r>
          </w:p>
        </w:tc>
        <w:tc>
          <w:tcPr>
            <w:tcW w:type="dxa" w:w="2390"/>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vAlign w:val="center"/>
          </w:tcPr>
          <w:p>
            <w:pPr>
              <w:keepNext/>
              <w:keepLines/>
              <w:spacing w:after="0" w:line="228"/>
              <w:jc w:val="center"/>
            </w:pPr>
            <w:r>
              <w:rPr>
                <w:rFonts w:ascii="Arial" w:cs="Arial" w:eastAsia="Arial" w:hAnsi="Arial"/>
                <w:b/>
                <w:bCs/>
                <w:color w:val="FFFFFF"/>
                <w:sz w:val="17"/>
                <w:szCs w:val="17"/>
              </w:rPr>
              <w:t xml:space="preserve">Tasa de interés (no recomendada hoy)</w:t>
            </w:r>
          </w:p>
        </w:tc>
      </w:tr>
      <w:tr>
        <w:trPr>
          <w:cantSplit/>
          <w:tblHeader w:val="false"/>
        </w:trPr>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Exposición cubierta</w:t>
            </w:r>
          </w:p>
        </w:tc>
        <w:tc>
          <w:tcPr>
            <w:tcW w:type="dxa" w:w="244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S/ 4,516 MM de S/ 4,704 MM (96%)</w:t>
            </w:r>
          </w:p>
        </w:tc>
        <w:tc>
          <w:tcPr>
            <w:tcW w:type="dxa" w:w="244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2.9 MMbl (US$ 166.6 MM)</w:t>
            </w:r>
          </w:p>
        </w:tc>
        <w:tc>
          <w:tcPr>
            <w:tcW w:type="dxa" w:w="239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Tasa base de la refinanciación del CESCE (US$ 722 MM)</w:t>
            </w:r>
          </w:p>
        </w:tc>
      </w:tr>
      <w:tr>
        <w:trPr>
          <w:cantSplit/>
          <w:tblHeader w:val="false"/>
        </w:trPr>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Costo inicial</w:t>
            </w:r>
          </w:p>
        </w:tc>
        <w:tc>
          <w:tcPr>
            <w:tcW w:type="dxa" w:w="244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Cero (CVA incluido en la tasa)</w:t>
            </w:r>
          </w:p>
        </w:tc>
        <w:tc>
          <w:tcPr>
            <w:tcW w:type="dxa" w:w="244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Cero (collar y swap)</w:t>
            </w:r>
          </w:p>
        </w:tc>
        <w:tc>
          <w:tcPr>
            <w:tcW w:type="dxa" w:w="239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Cero (swap de inicio diferido)</w:t>
            </w:r>
          </w:p>
        </w:tc>
      </w:tr>
      <w:tr>
        <w:trPr>
          <w:cantSplit/>
          <w:tblHeader w:val="false"/>
        </w:trPr>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Reducción del riesgo</w:t>
            </w:r>
          </w:p>
        </w:tc>
        <w:tc>
          <w:tcPr>
            <w:tcW w:type="dxa" w:w="244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±US$ 140 MM → ±US$ 6 MM</w:t>
            </w:r>
          </w:p>
        </w:tc>
        <w:tc>
          <w:tcPr>
            <w:tcW w:type="dxa" w:w="244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Pérdida máxima de US$ 50 MM → US$ 15.7 MM</w:t>
            </w:r>
          </w:p>
        </w:tc>
        <w:tc>
          <w:tcPr>
            <w:tcW w:type="dxa" w:w="239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Baja: el spread de crédito no se cubre</w:t>
            </w:r>
          </w:p>
        </w:tc>
      </w:tr>
      <w:tr>
        <w:trPr>
          <w:cantSplit/>
          <w:tblHeader w:val="false"/>
        </w:trPr>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left"/>
            </w:pPr>
            <w:r>
              <w:rPr>
                <w:rFonts w:ascii="Arial" w:cs="Arial" w:eastAsia="Arial" w:hAnsi="Arial"/>
                <w:color w:val="000000"/>
                <w:sz w:val="17"/>
                <w:szCs w:val="17"/>
              </w:rPr>
              <w:t xml:space="preserve">Efecto en liquidez</w:t>
            </w:r>
          </w:p>
        </w:tc>
        <w:tc>
          <w:tcPr>
            <w:tcW w:type="dxa" w:w="244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Bajo; CSA con umbral</w:t>
            </w:r>
          </w:p>
        </w:tc>
        <w:tc>
          <w:tcPr>
            <w:tcW w:type="dxa" w:w="244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Bajo; sin márgenes de bolsa</w:t>
            </w:r>
          </w:p>
        </w:tc>
        <w:tc>
          <w:tcPr>
            <w:tcW w:type="dxa" w:w="239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keepLines/>
              <w:spacing w:after="0" w:line="228"/>
              <w:jc w:val="center"/>
            </w:pPr>
            <w:r>
              <w:rPr>
                <w:rFonts w:ascii="Arial" w:cs="Arial" w:eastAsia="Arial" w:hAnsi="Arial"/>
                <w:color w:val="000000"/>
                <w:sz w:val="17"/>
                <w:szCs w:val="17"/>
              </w:rPr>
              <w:t xml:space="preserve">Pagos si baja la tasa</w:t>
            </w:r>
          </w:p>
        </w:tc>
      </w:tr>
      <w:tr>
        <w:trPr>
          <w:cantSplit/>
          <w:tblHeader w:val="false"/>
        </w:trPr>
        <w:tc>
          <w:tcPr>
            <w:tcW w:type="dxa" w:w="1788"/>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left"/>
            </w:pPr>
            <w:r>
              <w:rPr>
                <w:rFonts w:ascii="Arial" w:cs="Arial" w:eastAsia="Arial" w:hAnsi="Arial"/>
                <w:color w:val="000000"/>
                <w:sz w:val="17"/>
                <w:szCs w:val="17"/>
              </w:rPr>
              <w:t xml:space="preserve">Tratamiento NIIF 9</w:t>
            </w:r>
          </w:p>
        </w:tc>
        <w:tc>
          <w:tcPr>
            <w:tcW w:type="dxa" w:w="244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Cobertura de flujos de efectivo</w:t>
            </w:r>
          </w:p>
        </w:tc>
        <w:tc>
          <w:tcPr>
            <w:tcW w:type="dxa" w:w="2447"/>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Cobertura de valor razonable del inventario</w:t>
            </w:r>
          </w:p>
        </w:tc>
        <w:tc>
          <w:tcPr>
            <w:tcW w:type="dxa" w:w="2390"/>
            <w:tcBorders>
              <w:top w:val="single" w:color="A6A6A6" w:sz="4"/>
              <w:left w:val="single" w:color="A6A6A6" w:sz="4"/>
              <w:bottom w:val="single" w:color="A6A6A6" w:sz="4"/>
              <w:right w:val="single" w:color="A6A6A6" w:sz="4"/>
            </w:tcBorders>
            <w:tcMar>
              <w:top w:type="dxa" w:w="30"/>
              <w:left w:type="dxa" w:w="70"/>
              <w:bottom w:type="dxa" w:w="30"/>
              <w:right w:type="dxa" w:w="70"/>
            </w:tcMar>
            <w:vAlign w:val="center"/>
          </w:tcPr>
          <w:p>
            <w:pPr>
              <w:keepNext w:val="false"/>
              <w:keepLines/>
              <w:spacing w:after="0" w:line="228"/>
              <w:jc w:val="center"/>
            </w:pPr>
            <w:r>
              <w:rPr>
                <w:rFonts w:ascii="Arial" w:cs="Arial" w:eastAsia="Arial" w:hAnsi="Arial"/>
                <w:color w:val="000000"/>
                <w:sz w:val="17"/>
                <w:szCs w:val="17"/>
              </w:rPr>
              <w:t xml:space="preserve">Cobertura de flujos de efectivo</w:t>
            </w:r>
          </w:p>
        </w:tc>
      </w:tr>
    </w:tbl>
    <w:p>
      <w:pPr>
        <w:spacing w:after="100" w:before="20"/>
        <w:jc w:val="left"/>
      </w:pPr>
      <w:r>
        <w:rPr>
          <w:rFonts w:ascii="Arial" w:cs="Arial" w:eastAsia="Arial" w:hAnsi="Arial"/>
          <w:color w:val="52514E"/>
          <w:sz w:val="15"/>
          <w:szCs w:val="15"/>
        </w:rPr>
        <w:t xml:space="preserve">Elaboración: propia.</w:t>
      </w:r>
    </w:p>
    <w:p>
      <w:pPr>
        <w:spacing w:after="80" w:before="0" w:line="276"/>
        <w:jc w:val="both"/>
      </w:pPr>
      <w:r>
        <w:rPr>
          <w:rFonts w:ascii="Arial" w:cs="Arial" w:eastAsia="Arial" w:hAnsi="Arial"/>
          <w:b/>
          <w:bCs/>
          <w:sz w:val="22"/>
          <w:szCs w:val="22"/>
        </w:rPr>
        <w:t xml:space="preserve">Riesgo de tasa.</w:t>
      </w:r>
      <w:r>
        <w:rPr>
          <w:rFonts w:ascii="Arial" w:cs="Arial" w:eastAsia="Arial" w:hAnsi="Arial"/>
          <w:sz w:val="22"/>
          <w:szCs w:val="22"/>
        </w:rPr>
        <w:t xml:space="preserve"> No se recomienda contratar hoy un swap de tasa. La deuda ya es fija, y un swap para pasar a tasa variable añadiría riesgo sin reducir el costo de crédito, que es lo que encarece la deuda (rendimiento de 9.7%). La herramienta adecuada es un </w:t>
      </w:r>
      <w:r>
        <w:rPr>
          <w:rFonts w:ascii="Arial" w:cs="Arial" w:eastAsia="Arial" w:hAnsi="Arial"/>
          <w:b/>
          <w:bCs/>
          <w:sz w:val="22"/>
          <w:szCs w:val="22"/>
        </w:rPr>
        <w:t xml:space="preserve">swap de inicio diferido o un rate lock</w:t>
      </w:r>
      <w:r>
        <w:rPr>
          <w:rFonts w:ascii="Arial" w:cs="Arial" w:eastAsia="Arial" w:hAnsi="Arial"/>
          <w:sz w:val="22"/>
          <w:szCs w:val="22"/>
        </w:rPr>
        <w:t xml:space="preserve"> sobre la tasa del Tesoro de EE. UU., que se activaría cuando PROINVERSIÓN defina la refinanciación del CESCE y de los bonos 2032.</w:t>
      </w:r>
    </w:p>
    <w:p>
      <w:pPr>
        <w:spacing w:after="80" w:before="0" w:line="276"/>
        <w:jc w:val="both"/>
      </w:pPr>
      <w:r>
        <w:rPr>
          <w:rFonts w:ascii="Arial" w:cs="Arial" w:eastAsia="Arial" w:hAnsi="Arial"/>
          <w:b/>
          <w:bCs/>
          <w:sz w:val="22"/>
          <w:szCs w:val="22"/>
        </w:rPr>
        <w:t xml:space="preserve">Condiciones de implementación.</w:t>
      </w:r>
      <w:r>
        <w:rPr>
          <w:rFonts w:ascii="Arial" w:cs="Arial" w:eastAsia="Arial" w:hAnsi="Arial"/>
          <w:sz w:val="22"/>
          <w:szCs w:val="22"/>
        </w:rPr>
        <w:t xml:space="preserve"> (i) Aprobar una </w:t>
      </w:r>
      <w:r>
        <w:rPr>
          <w:rFonts w:ascii="Arial" w:cs="Arial" w:eastAsia="Arial" w:hAnsi="Arial"/>
          <w:b/>
          <w:bCs/>
          <w:sz w:val="22"/>
          <w:szCs w:val="22"/>
        </w:rPr>
        <w:t xml:space="preserve">Política de Cobertura</w:t>
      </w:r>
      <w:r>
        <w:rPr>
          <w:rFonts w:ascii="Arial" w:cs="Arial" w:eastAsia="Arial" w:hAnsi="Arial"/>
          <w:sz w:val="22"/>
          <w:szCs w:val="22"/>
        </w:rPr>
        <w:t xml:space="preserve"> en el Directorio con límites de cobertura (70%–100% de la posición en soles y 50%–80% del inventario de crudo), una prohibición expresa de especular y métricas mensuales de seguimiento. (ii) Firmar contratos marco </w:t>
      </w:r>
      <w:r>
        <w:rPr>
          <w:rFonts w:ascii="Arial" w:cs="Arial" w:eastAsia="Arial" w:hAnsi="Arial"/>
          <w:b/>
          <w:bCs/>
          <w:sz w:val="22"/>
          <w:szCs w:val="22"/>
        </w:rPr>
        <w:t xml:space="preserve">ISDA con anexos CSA</w:t>
      </w:r>
      <w:r>
        <w:rPr>
          <w:rFonts w:ascii="Arial" w:cs="Arial" w:eastAsia="Arial" w:hAnsi="Arial"/>
          <w:sz w:val="22"/>
          <w:szCs w:val="22"/>
        </w:rPr>
        <w:t xml:space="preserve"> que tengan umbrales de colateral altos; dada la calificación B-, es clave solicitar al MEF, en el marco del D.U. N.° 003-2026, que el respaldo del Estado se extienda a las líneas de derivados. (iii) Documentar cada relación de cobertura según la NIIF 9 (partida cubierta, instrumento, ratio y pruebas de efectividad). (iv) Coordinar con PROINVERSIÓN, que conduce la reorganización patrimonial, para que las coberturas acompañen la transferencia de los bloques de activos. (v) Separar funciones entre la Gerencia Corporativa de Finanzas, que contrata; Riesgos, que mide y controla límites; y Contabilidad, que registra.</w:t>
      </w:r>
    </w:p>
    <w:p>
      <w:pPr>
        <w:keepNext/>
        <w:pBdr>
          <w:bottom w:val="single" w:color="1F3864" w:sz="6" w:space="1"/>
        </w:pBdr>
        <w:spacing w:after="80" w:before="140"/>
      </w:pPr>
      <w:r>
        <w:rPr>
          <w:rFonts w:ascii="Arial" w:cs="Arial" w:eastAsia="Arial" w:hAnsi="Arial"/>
          <w:b/>
          <w:bCs/>
          <w:color w:val="1F3864"/>
          <w:sz w:val="22"/>
          <w:szCs w:val="22"/>
        </w:rPr>
        <w:t xml:space="preserve">V. CONCLUSIONES Y RECOMENDACIONES</w:t>
      </w:r>
    </w:p>
    <w:p>
      <w:pPr>
        <w:pStyle w:val="ListParagraph"/>
        <w:numPr>
          <w:ilvl w:val="0"/>
          <w:numId w:val="2"/>
        </w:numPr>
        <w:spacing w:after="40" w:line="276"/>
        <w:jc w:val="both"/>
      </w:pPr>
      <w:r>
        <w:rPr>
          <w:rFonts w:ascii="Arial" w:cs="Arial" w:eastAsia="Arial" w:hAnsi="Arial"/>
          <w:sz w:val="22"/>
          <w:szCs w:val="22"/>
        </w:rPr>
        <w:t xml:space="preserve">PETROPERÚ asume sin cobertura dos riesgos de mercado de gran magnitud: una posición pasiva neta de S/ 4,704 MM, con una sensibilidad de ±US$ 140 MM ante un movimiento de 10% del tipo de cambio, y un inventario de crudo expuesto a la caída del WTI, que bajó 17.2% en 2025. Con un margen bruto casi nulo y liquidez restringida, estos riesgos comprometen directamente la continuidad operativa.</w:t>
      </w:r>
    </w:p>
    <w:p>
      <w:pPr>
        <w:pStyle w:val="ListParagraph"/>
        <w:numPr>
          <w:ilvl w:val="0"/>
          <w:numId w:val="2"/>
        </w:numPr>
        <w:spacing w:after="40" w:line="276"/>
        <w:jc w:val="both"/>
      </w:pPr>
      <w:r>
        <w:rPr>
          <w:rFonts w:ascii="Arial" w:cs="Arial" w:eastAsia="Arial" w:hAnsi="Arial"/>
          <w:b/>
          <w:bCs/>
          <w:sz w:val="22"/>
          <w:szCs w:val="22"/>
        </w:rPr>
        <w:t xml:space="preserve">Estrategia 1:</w:t>
      </w:r>
      <w:r>
        <w:rPr>
          <w:rFonts w:ascii="Arial" w:cs="Arial" w:eastAsia="Arial" w:hAnsi="Arial"/>
          <w:sz w:val="22"/>
          <w:szCs w:val="22"/>
        </w:rPr>
        <w:t xml:space="preserve"> el CCS amortizable, pagando en dólares al 5.10% (antes de CVA), sobre el préstamo del BN, junto con NDF de compra de soles, cubre el 96% de la exposición en soles y reduce la volatilidad cambiaria de ±US$ 140 MM a ±US$ 6 MM, sin costo inicial y con tratamiento de cobertura contable.</w:t>
      </w:r>
    </w:p>
    <w:p>
      <w:pPr>
        <w:pStyle w:val="ListParagraph"/>
        <w:numPr>
          <w:ilvl w:val="0"/>
          <w:numId w:val="2"/>
        </w:numPr>
        <w:spacing w:after="40" w:line="276"/>
        <w:jc w:val="both"/>
      </w:pPr>
      <w:r>
        <w:rPr>
          <w:rFonts w:ascii="Arial" w:cs="Arial" w:eastAsia="Arial" w:hAnsi="Arial"/>
          <w:b/>
          <w:bCs/>
          <w:sz w:val="22"/>
          <w:szCs w:val="22"/>
        </w:rPr>
        <w:t xml:space="preserve">Estrategia 2:</w:t>
      </w:r>
      <w:r>
        <w:rPr>
          <w:rFonts w:ascii="Arial" w:cs="Arial" w:eastAsia="Arial" w:hAnsi="Arial"/>
          <w:sz w:val="22"/>
          <w:szCs w:val="22"/>
        </w:rPr>
        <w:t xml:space="preserve"> el collar de costo cero (put de US$ 52.00 y call de US$ 63.86), complementado con swaps de WTI para los cargamentos en tránsito, limita la pérdida máxima del inventario de crudo a US$ 15.7 MM (frente a US$ 50.0 MM sin cobertura) sin pagar prima.</w:t>
      </w:r>
    </w:p>
    <w:p>
      <w:pPr>
        <w:pStyle w:val="ListParagraph"/>
        <w:numPr>
          <w:ilvl w:val="0"/>
          <w:numId w:val="2"/>
        </w:numPr>
        <w:spacing w:after="40" w:line="276"/>
        <w:jc w:val="both"/>
      </w:pPr>
      <w:r>
        <w:rPr>
          <w:rFonts w:ascii="Arial" w:cs="Arial" w:eastAsia="Arial" w:hAnsi="Arial"/>
          <w:sz w:val="22"/>
          <w:szCs w:val="22"/>
        </w:rPr>
        <w:t xml:space="preserve">La restricción de liquidez obliga a preferir instrumentos OTC sin costo inicial y con umbrales de colateral, en lugar de futuros con márgenes diarios. Para el riesgo de tasa se recomienda esperar al diseño de la refinanciación y usar entonces swaps de inicio diferido.</w:t>
      </w:r>
    </w:p>
    <w:p>
      <w:pPr>
        <w:pStyle w:val="ListParagraph"/>
        <w:numPr>
          <w:ilvl w:val="0"/>
          <w:numId w:val="2"/>
        </w:numPr>
        <w:spacing w:after="40" w:line="276"/>
        <w:jc w:val="both"/>
      </w:pPr>
      <w:r>
        <w:rPr>
          <w:rFonts w:ascii="Arial" w:cs="Arial" w:eastAsia="Arial" w:hAnsi="Arial"/>
          <w:sz w:val="22"/>
          <w:szCs w:val="22"/>
        </w:rPr>
        <w:t xml:space="preserve">Se recomienda a la Gerencia General: (1) presentar la Política de Cobertura al Directorio; (2) iniciar la negociación ISDA/CSA con al menos tres bancos; (3) gestionar el respaldo del MEF para las líneas de derivados; y (4) ejecutar primero el CCS, que cubre el riesgo de mayor impacto y es el más sencillo de implementar.</w:t>
      </w:r>
    </w:p>
    <w:p>
      <w:pPr>
        <w:keepNext/>
        <w:pBdr>
          <w:bottom w:val="single" w:color="1F3864" w:sz="6" w:space="1"/>
        </w:pBdr>
        <w:spacing w:after="80" w:before="140"/>
      </w:pPr>
      <w:r>
        <w:rPr>
          <w:rFonts w:ascii="Arial" w:cs="Arial" w:eastAsia="Arial" w:hAnsi="Arial"/>
          <w:b/>
          <w:bCs/>
          <w:color w:val="1F3864"/>
          <w:sz w:val="22"/>
          <w:szCs w:val="22"/>
        </w:rPr>
        <w:t xml:space="preserve">VI. REFERENCIAS BIBLIOGRÁFICAS</w:t>
      </w:r>
    </w:p>
    <w:p>
      <w:pPr>
        <w:spacing w:after="50" w:line="240"/>
        <w:ind w:left="400" w:hanging="400"/>
        <w:jc w:val="left"/>
      </w:pPr>
      <w:r>
        <w:rPr>
          <w:rFonts w:ascii="Arial" w:cs="Arial" w:eastAsia="Arial" w:hAnsi="Arial"/>
          <w:sz w:val="17"/>
          <w:szCs w:val="17"/>
        </w:rPr>
        <w:t xml:space="preserve">Banco Central de Reserva del Perú. (2026). </w:t>
      </w:r>
      <w:r>
        <w:rPr>
          <w:rFonts w:ascii="Arial" w:cs="Arial" w:eastAsia="Arial" w:hAnsi="Arial"/>
          <w:i/>
          <w:iCs/>
          <w:sz w:val="17"/>
          <w:szCs w:val="17"/>
        </w:rPr>
        <w:t xml:space="preserve">Tipo de cambio bancario promedio (PN01210PM) y cotización del petróleo WTI (PN01660XM), series mensuales 2021–2025</w:t>
      </w:r>
      <w:r>
        <w:rPr>
          <w:rFonts w:ascii="Arial" w:cs="Arial" w:eastAsia="Arial" w:hAnsi="Arial"/>
          <w:sz w:val="17"/>
          <w:szCs w:val="17"/>
        </w:rPr>
        <w:t xml:space="preserve"> [Base de datos]. https://estadisticas.bcrp.gob.pe/estadisticas/series/</w:t>
      </w:r>
    </w:p>
    <w:p>
      <w:pPr>
        <w:spacing w:after="50" w:line="240"/>
        <w:ind w:left="400" w:hanging="400"/>
        <w:jc w:val="left"/>
      </w:pPr>
      <w:r>
        <w:rPr>
          <w:rFonts w:ascii="Arial" w:cs="Arial" w:eastAsia="Arial" w:hAnsi="Arial"/>
          <w:sz w:val="17"/>
          <w:szCs w:val="17"/>
        </w:rPr>
        <w:t xml:space="preserve">Banco Central de Reserva del Perú. (2026). </w:t>
      </w:r>
      <w:r>
        <w:rPr>
          <w:rFonts w:ascii="Arial" w:cs="Arial" w:eastAsia="Arial" w:hAnsi="Arial"/>
          <w:i/>
          <w:iCs/>
          <w:sz w:val="17"/>
          <w:szCs w:val="17"/>
        </w:rPr>
        <w:t xml:space="preserve">Tasa de referencia de la política monetaria (PD04722MM)</w:t>
      </w:r>
      <w:r>
        <w:rPr>
          <w:rFonts w:ascii="Arial" w:cs="Arial" w:eastAsia="Arial" w:hAnsi="Arial"/>
          <w:sz w:val="17"/>
          <w:szCs w:val="17"/>
        </w:rPr>
        <w:t xml:space="preserve"> [Base de datos]. https://estadisticas.bcrp.gob.pe/estadisticas/series/mensuales/resultados/PD04722MM/html</w:t>
      </w:r>
    </w:p>
    <w:p>
      <w:pPr>
        <w:spacing w:after="50" w:line="240"/>
        <w:ind w:left="400" w:hanging="400"/>
        <w:jc w:val="left"/>
      </w:pPr>
      <w:r>
        <w:rPr>
          <w:rFonts w:ascii="Arial" w:cs="Arial" w:eastAsia="Arial" w:hAnsi="Arial"/>
          <w:sz w:val="17"/>
          <w:szCs w:val="17"/>
        </w:rPr>
        <w:t xml:space="preserve">Black, F. (1976). The pricing of commodity contracts. </w:t>
      </w:r>
      <w:r>
        <w:rPr>
          <w:rFonts w:ascii="Arial" w:cs="Arial" w:eastAsia="Arial" w:hAnsi="Arial"/>
          <w:i/>
          <w:iCs/>
          <w:sz w:val="17"/>
          <w:szCs w:val="17"/>
        </w:rPr>
        <w:t xml:space="preserve">Journal of Financial Economics, 3</w:t>
      </w:r>
      <w:r>
        <w:rPr>
          <w:rFonts w:ascii="Arial" w:cs="Arial" w:eastAsia="Arial" w:hAnsi="Arial"/>
          <w:sz w:val="17"/>
          <w:szCs w:val="17"/>
        </w:rPr>
        <w:t xml:space="preserve">(1–2), 167–179. https://doi.org/10.1016/0304-405X(76)90024-6</w:t>
      </w:r>
    </w:p>
    <w:p>
      <w:pPr>
        <w:spacing w:after="50" w:line="240"/>
        <w:ind w:left="400" w:hanging="400"/>
        <w:jc w:val="left"/>
      </w:pPr>
      <w:r>
        <w:rPr>
          <w:rFonts w:ascii="Arial" w:cs="Arial" w:eastAsia="Arial" w:hAnsi="Arial"/>
          <w:sz w:val="17"/>
          <w:szCs w:val="17"/>
        </w:rPr>
        <w:t xml:space="preserve">Federal Reserve Bank of New York. (2026). </w:t>
      </w:r>
      <w:r>
        <w:rPr>
          <w:rFonts w:ascii="Arial" w:cs="Arial" w:eastAsia="Arial" w:hAnsi="Arial"/>
          <w:i/>
          <w:iCs/>
          <w:sz w:val="17"/>
          <w:szCs w:val="17"/>
        </w:rPr>
        <w:t xml:space="preserve">Secured Overnight Financing Rate (SOFR) data</w:t>
      </w:r>
      <w:r>
        <w:rPr>
          <w:rFonts w:ascii="Arial" w:cs="Arial" w:eastAsia="Arial" w:hAnsi="Arial"/>
          <w:sz w:val="17"/>
          <w:szCs w:val="17"/>
        </w:rPr>
        <w:t xml:space="preserve">. https://www.newyorkfed.org/markets/reference-rates/sofr</w:t>
      </w:r>
    </w:p>
    <w:p>
      <w:pPr>
        <w:spacing w:after="50" w:line="240"/>
        <w:ind w:left="400" w:hanging="400"/>
        <w:jc w:val="left"/>
      </w:pPr>
      <w:r>
        <w:rPr>
          <w:rFonts w:ascii="Arial" w:cs="Arial" w:eastAsia="Arial" w:hAnsi="Arial"/>
          <w:sz w:val="17"/>
          <w:szCs w:val="17"/>
        </w:rPr>
        <w:t xml:space="preserve">Froot, K. A., Scharfstein, D. S., y Stein, J. C. (1993). Risk management: Coordinating corporate investment and financing policies. </w:t>
      </w:r>
      <w:r>
        <w:rPr>
          <w:rFonts w:ascii="Arial" w:cs="Arial" w:eastAsia="Arial" w:hAnsi="Arial"/>
          <w:i/>
          <w:iCs/>
          <w:sz w:val="17"/>
          <w:szCs w:val="17"/>
        </w:rPr>
        <w:t xml:space="preserve">The Journal of Finance, 48</w:t>
      </w:r>
      <w:r>
        <w:rPr>
          <w:rFonts w:ascii="Arial" w:cs="Arial" w:eastAsia="Arial" w:hAnsi="Arial"/>
          <w:sz w:val="17"/>
          <w:szCs w:val="17"/>
        </w:rPr>
        <w:t xml:space="preserve">(5), 1629–1658.</w:t>
      </w:r>
    </w:p>
    <w:p>
      <w:pPr>
        <w:spacing w:after="50" w:line="240"/>
        <w:ind w:left="400" w:hanging="400"/>
        <w:jc w:val="left"/>
      </w:pPr>
      <w:r>
        <w:rPr>
          <w:rFonts w:ascii="Arial" w:cs="Arial" w:eastAsia="Arial" w:hAnsi="Arial"/>
          <w:sz w:val="17"/>
          <w:szCs w:val="17"/>
        </w:rPr>
        <w:t xml:space="preserve">Gaveglio, Aparicio y Asociados S.C.R.L. (2026). </w:t>
      </w:r>
      <w:r>
        <w:rPr>
          <w:rFonts w:ascii="Arial" w:cs="Arial" w:eastAsia="Arial" w:hAnsi="Arial"/>
          <w:i/>
          <w:iCs/>
          <w:sz w:val="17"/>
          <w:szCs w:val="17"/>
        </w:rPr>
        <w:t xml:space="preserve">Informe de auditoría que incluye el dictamen de los estados financieros al 31.12.2025 – Petróleos del Perú S.A. (Informe N.° 105-2026-3-0046-DF)</w:t>
      </w:r>
      <w:r>
        <w:rPr>
          <w:rFonts w:ascii="Arial" w:cs="Arial" w:eastAsia="Arial" w:hAnsi="Arial"/>
          <w:sz w:val="17"/>
          <w:szCs w:val="17"/>
        </w:rPr>
        <w:t xml:space="preserve">. Contraloría General de la República / PETROPERÚ.</w:t>
      </w:r>
    </w:p>
    <w:p>
      <w:pPr>
        <w:spacing w:after="50" w:line="240"/>
        <w:ind w:left="400" w:hanging="400"/>
        <w:jc w:val="left"/>
      </w:pPr>
      <w:r>
        <w:rPr>
          <w:rFonts w:ascii="Arial" w:cs="Arial" w:eastAsia="Arial" w:hAnsi="Arial"/>
          <w:sz w:val="17"/>
          <w:szCs w:val="17"/>
        </w:rPr>
        <w:t xml:space="preserve">Hull, J. C. (2022). </w:t>
      </w:r>
      <w:r>
        <w:rPr>
          <w:rFonts w:ascii="Arial" w:cs="Arial" w:eastAsia="Arial" w:hAnsi="Arial"/>
          <w:i/>
          <w:iCs/>
          <w:sz w:val="17"/>
          <w:szCs w:val="17"/>
        </w:rPr>
        <w:t xml:space="preserve">Options, futures, and other derivatives</w:t>
      </w:r>
      <w:r>
        <w:rPr>
          <w:rFonts w:ascii="Arial" w:cs="Arial" w:eastAsia="Arial" w:hAnsi="Arial"/>
          <w:sz w:val="17"/>
          <w:szCs w:val="17"/>
        </w:rPr>
        <w:t xml:space="preserve"> (11.ª ed.). Pearson.</w:t>
      </w:r>
    </w:p>
    <w:p>
      <w:pPr>
        <w:spacing w:after="50" w:line="240"/>
        <w:ind w:left="400" w:hanging="400"/>
        <w:jc w:val="left"/>
      </w:pPr>
      <w:r>
        <w:rPr>
          <w:rFonts w:ascii="Arial" w:cs="Arial" w:eastAsia="Arial" w:hAnsi="Arial"/>
          <w:sz w:val="17"/>
          <w:szCs w:val="17"/>
        </w:rPr>
        <w:t xml:space="preserve">Humala, A. (2026). </w:t>
      </w:r>
      <w:r>
        <w:rPr>
          <w:rFonts w:ascii="Arial" w:cs="Arial" w:eastAsia="Arial" w:hAnsi="Arial"/>
          <w:i/>
          <w:iCs/>
          <w:sz w:val="17"/>
          <w:szCs w:val="17"/>
        </w:rPr>
        <w:t xml:space="preserve">Notas de clase del curso Gestión de Derivados Financieros</w:t>
      </w:r>
      <w:r>
        <w:rPr>
          <w:rFonts w:ascii="Arial" w:cs="Arial" w:eastAsia="Arial" w:hAnsi="Arial"/>
          <w:sz w:val="17"/>
          <w:szCs w:val="17"/>
        </w:rPr>
        <w:t xml:space="preserve">. Pacífico Business School, Universidad del Pacífico.</w:t>
      </w:r>
    </w:p>
    <w:p>
      <w:pPr>
        <w:spacing w:after="50" w:line="240"/>
        <w:ind w:left="400" w:hanging="400"/>
        <w:jc w:val="left"/>
      </w:pPr>
      <w:r>
        <w:rPr>
          <w:rFonts w:ascii="Arial" w:cs="Arial" w:eastAsia="Arial" w:hAnsi="Arial"/>
          <w:sz w:val="17"/>
          <w:szCs w:val="17"/>
        </w:rPr>
        <w:t xml:space="preserve">International Accounting Standards Board. (2014). </w:t>
      </w:r>
      <w:r>
        <w:rPr>
          <w:rFonts w:ascii="Arial" w:cs="Arial" w:eastAsia="Arial" w:hAnsi="Arial"/>
          <w:i/>
          <w:iCs/>
          <w:sz w:val="17"/>
          <w:szCs w:val="17"/>
        </w:rPr>
        <w:t xml:space="preserve">NIIF 9 Instrumentos Financieros</w:t>
      </w:r>
      <w:r>
        <w:rPr>
          <w:rFonts w:ascii="Arial" w:cs="Arial" w:eastAsia="Arial" w:hAnsi="Arial"/>
          <w:sz w:val="17"/>
          <w:szCs w:val="17"/>
        </w:rPr>
        <w:t xml:space="preserve">. IFRS Foundation.</w:t>
      </w:r>
    </w:p>
    <w:p>
      <w:pPr>
        <w:spacing w:after="50" w:line="240"/>
        <w:ind w:left="400" w:hanging="400"/>
        <w:jc w:val="left"/>
      </w:pPr>
      <w:r>
        <w:rPr>
          <w:rFonts w:ascii="Arial" w:cs="Arial" w:eastAsia="Arial" w:hAnsi="Arial"/>
          <w:sz w:val="17"/>
          <w:szCs w:val="17"/>
        </w:rPr>
        <w:t xml:space="preserve">Stulz, R. M. (1996). Rethinking risk management. </w:t>
      </w:r>
      <w:r>
        <w:rPr>
          <w:rFonts w:ascii="Arial" w:cs="Arial" w:eastAsia="Arial" w:hAnsi="Arial"/>
          <w:i/>
          <w:iCs/>
          <w:sz w:val="17"/>
          <w:szCs w:val="17"/>
        </w:rPr>
        <w:t xml:space="preserve">Journal of Applied Corporate Finance, 9</w:t>
      </w:r>
      <w:r>
        <w:rPr>
          <w:rFonts w:ascii="Arial" w:cs="Arial" w:eastAsia="Arial" w:hAnsi="Arial"/>
          <w:sz w:val="17"/>
          <w:szCs w:val="17"/>
        </w:rPr>
        <w:t xml:space="preserve">(3), 8–25.</w:t>
      </w:r>
    </w:p>
    <w:sectPr>
      <w:headerReference w:type="default" r:id="rId7"/>
      <w:headerReference w:type="first" r:id="rId8"/>
      <w:footerReference w:type="default" r:id="rId9"/>
      <w:footerReference w:type="first" r:id="rId10"/>
      <w:pgSz w:w="11906" w:h="16838" w:orient="portrait"/>
      <w:pgMar w:top="1300" w:right="1417" w:bottom="1200" w:left="1417"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P"/>
      <w:jc w:val="center"/>
    </w:pPr>
    <w:r>
      <w:rPr>
        <w:rFonts w:ascii="Arial" w:cs="Arial" w:eastAsia="Arial" w:hAnsi="Arial"/>
        <w:color w:val="8A8983"/>
        <w:sz w:val="16"/>
        <w:szCs w:val="16"/>
      </w:rPr>
      <w:t xml:space="preserve">Página </w:t>
    </w:r>
    <w:r>
      <w:rPr>
        <w:rFonts w:ascii="Arial" w:cs="Arial" w:eastAsia="Arial" w:hAnsi="Arial"/>
        <w:color w:val="8A8983"/>
        <w:sz w:val="16"/>
        <w:szCs w:val="16"/>
      </w:rPr>
      <w:fldChar w:fldCharType="begin"/>
      <w:instrText xml:space="preserve">PAGE</w:instrText>
      <w:fldChar w:fldCharType="separate"/>
      <w:fldChar w:fldCharType="end"/>
    </w:r>
    <w:r>
      <w:rPr>
        <w:rFonts w:ascii="Arial" w:cs="Arial" w:eastAsia="Arial" w:hAnsi="Arial"/>
        <w:color w:val="8A8983"/>
        <w:sz w:val="16"/>
        <w:szCs w:val="16"/>
      </w:rPr>
      <w:t xml:space="preserve"> de </w:t>
    </w:r>
    <w:r>
      <w:rPr>
        <w:rFonts w:ascii="Arial" w:cs="Arial" w:eastAsia="Arial" w:hAnsi="Arial"/>
        <w:color w:val="8A898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8983"/>
        <w:sz w:val="14"/>
        <w:szCs w:val="14"/>
      </w:rPr>
      <w:t xml:space="preserve">Gestión de Derivados Financieros – PETROPERÚ S.A.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ieP">
    <w:name w:val="PieP"/>
    <w:rPr>
      <w:rFonts w:ascii="Arial" w:cs="Arial" w:eastAsia="Arial" w:hAnsi="Arial"/>
      <w:color w:val="8A8983"/>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e7c3db6386399a8cefef2a5cd490bec6a3ebf6d.png"/><Relationship Id="rId12" Type="http://schemas.openxmlformats.org/officeDocument/2006/relationships/image" Target="media/eb5c6cab4ee20fd6d61efc8b2628a57bfcbba1a4.png"/><Relationship Id="rId13" Type="http://schemas.openxmlformats.org/officeDocument/2006/relationships/image" Target="media/a4c32c5efe33e144140301bdeb6a842f2018f445.png"/><Relationship Id="rId14" Type="http://schemas.openxmlformats.org/officeDocument/2006/relationships/image" Target="media/ee4bea1dcbea61919f2e5b18ceba7833711a0e29.png"/><Relationship Id="rId15" Type="http://schemas.openxmlformats.org/officeDocument/2006/relationships/image" Target="media/2c07a174129eabca2730bc75a5c38014b62a7f02.png"/><Relationship Id="rId16" Type="http://schemas.openxmlformats.org/officeDocument/2006/relationships/image" Target="media/b4ce8a270093a10976e9303c4209fdc5794e270a.png"/><Relationship Id="rId17" Type="http://schemas.openxmlformats.org/officeDocument/2006/relationships/image" Target="media/b8ea3aad79d919c30ab6983efb4975a97f9af26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2026-09-28T23:40:36.388Z</dcterms:created>
  <dcterms:modified xsi:type="dcterms:W3CDTF">2026-09-28T23:40:36.388Z</dcterms:modified>
</cp:coreProperties>
</file>

<file path=docProps/custom.xml><?xml version="1.0" encoding="utf-8"?>
<Properties xmlns="http://schemas.openxmlformats.org/officeDocument/2006/custom-properties" xmlns:vt="http://schemas.openxmlformats.org/officeDocument/2006/docPropsVTypes"/>
</file>