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100"/>
      </w:pPr>
    </w:p>
    <w:p>
      <w:pPr>
        <w:spacing w:after="320"/>
        <w:jc w:val="center"/>
      </w:pPr>
      <w:r>
        <w:rPr>
          <w:rFonts w:ascii="Arial" w:hAnsi="Arial"/>
          <w:b/>
          <w:i w:val="0"/>
          <w:caps w:val="0"/>
          <w:color w:val="E10600"/>
          <w:sz w:val="20"/>
        </w:rPr>
        <w:t>LAB / 001 — ABIDJAN</w:t>
      </w:r>
    </w:p>
    <w:p>
      <w:pPr>
        <w:spacing w:after="200"/>
        <w:jc w:val="center"/>
      </w:pPr>
      <w:r>
        <w:rPr>
          <w:rFonts w:ascii="Arial" w:hAnsi="Arial"/>
          <w:b/>
          <w:i w:val="0"/>
          <w:caps w:val="0"/>
          <w:color w:val="0B0B0B"/>
          <w:sz w:val="60"/>
        </w:rPr>
        <w:t>PACTE D'ENTRÉE</w:t>
        <w:br/>
        <w:t>DANS LE LAB</w:t>
      </w:r>
    </w:p>
    <w:p>
      <w:pPr>
        <w:spacing w:after="560"/>
        <w:jc w:val="center"/>
      </w:pPr>
      <w:r>
        <w:rPr>
          <w:rFonts w:ascii="Arial" w:hAnsi="Arial"/>
          <w:b/>
          <w:i w:val="0"/>
          <w:caps w:val="0"/>
          <w:color w:val="303030"/>
          <w:sz w:val="28"/>
        </w:rPr>
        <w:t>Créer ensemble. Vendre avec clarté. Grandir en collectif.</w:t>
      </w:r>
    </w:p>
    <w:tbl>
      <w:tblPr>
        <w:tblW w:type="dxa" w:w="9360"/>
        <w:jc w:val="center"/>
        <w:tblLayout w:type="fixed"/>
        <w:tblLook w:firstColumn="1" w:firstRow="1" w:lastColumn="0" w:lastRow="0" w:noHBand="0" w:noVBand="1" w:val="04A0"/>
        <w:tblInd w:w="120" w:type="dxa"/>
        <w:tblBorders>
          <w:top w:val="single" w:sz="0" w:space="0" w:color="0B0B0B"/>
          <w:left w:val="single" w:sz="0" w:space="0" w:color="0B0B0B"/>
          <w:bottom w:val="single" w:sz="0" w:space="0" w:color="0B0B0B"/>
          <w:right w:val="single" w:sz="0" w:space="0" w:color="0B0B0B"/>
          <w:insideH w:val="single" w:sz="0" w:space="0" w:color="0B0B0B"/>
          <w:insideV w:val="single" w:sz="0" w:space="0" w:color="0B0B0B"/>
        </w:tblBorders>
      </w:tblPr>
      <w:tblGrid>
        <w:gridCol w:w="9360"/>
      </w:tblGrid>
      <w:tr>
        <w:tc>
          <w:tcPr>
            <w:tcW w:type="dxa" w:w="9360"/>
            <w:tcMar>
              <w:top w:w="120" w:type="dxa"/>
              <w:start w:w="140" w:type="dxa"/>
              <w:bottom w:w="120" w:type="dxa"/>
              <w:end w:w="140" w:type="dxa"/>
            </w:tcMar>
            <w:vAlign w:val="center"/>
            <w:shd w:fill="0B0B0B"/>
          </w:tcPr>
          <w:p>
            <w:pPr>
              <w:spacing w:after="100"/>
            </w:pPr>
            <w:r>
              <w:rPr>
                <w:rFonts w:ascii="Arial" w:hAnsi="Arial"/>
                <w:b/>
                <w:i w:val="0"/>
                <w:caps w:val="0"/>
                <w:color w:val="E10600"/>
                <w:sz w:val="18"/>
              </w:rPr>
              <w:t>VERSION DE TRAVAIL</w:t>
            </w:r>
          </w:p>
          <w:p>
            <w:pPr>
              <w:spacing w:after="0" w:line="288" w:lineRule="auto"/>
            </w:pPr>
            <w:r>
              <w:rPr>
                <w:rFonts w:ascii="Arial" w:hAnsi="Arial"/>
                <w:b/>
                <w:i w:val="0"/>
                <w:caps w:val="0"/>
                <w:color w:val="FFFFFF"/>
                <w:sz w:val="22"/>
              </w:rPr>
              <w:t>Cadre d'engagement proposé entre NewGbonhi et les créateurs résidents du Lab. Les paramètres commerciaux définitifs sont complétés dans la fiche d'accord avant toute signature.</w:t>
            </w:r>
          </w:p>
        </w:tc>
      </w:tr>
    </w:tbl>
    <w:p>
      <w:pPr>
        <w:spacing w:after="0"/>
      </w:pPr>
    </w:p>
    <w:p>
      <w:pPr>
        <w:spacing w:before="1040"/>
        <w:jc w:val="center"/>
      </w:pPr>
      <w:r>
        <w:rPr>
          <w:rFonts w:ascii="Arial" w:hAnsi="Arial"/>
          <w:b/>
          <w:i w:val="0"/>
          <w:caps w:val="0"/>
          <w:color w:val="777777"/>
          <w:sz w:val="17"/>
        </w:rPr>
        <w:t>NEWGBONHI IS A LIVING ARCHIVE OF OBJECTS, PEOPLE AND IDEAS FROM ABIDJAN.</w:t>
      </w:r>
    </w:p>
    <w:p>
      <w:r>
        <w:br w:type="page"/>
      </w:r>
    </w:p>
    <w:p>
      <w:pPr>
        <w:spacing w:before="100" w:after="100"/>
      </w:pPr>
      <w:r>
        <w:rPr>
          <w:rFonts w:ascii="Arial" w:hAnsi="Arial"/>
          <w:b/>
          <w:i w:val="0"/>
          <w:caps/>
          <w:color w:val="E10600"/>
          <w:sz w:val="17"/>
        </w:rPr>
        <w:t>00 / Esprit du pacte</w:t>
      </w:r>
    </w:p>
    <w:p>
      <w:pPr>
        <w:pStyle w:val="Heading1"/>
        <w:keepNext/>
      </w:pPr>
      <w:r>
        <w:t>Pourquoi ce pacte existe</w:t>
      </w:r>
    </w:p>
    <w:p>
      <w:pPr>
        <w:spacing w:after="120"/>
      </w:pPr>
      <w:r>
        <w:rPr>
          <w:rFonts w:ascii="Arial" w:hAnsi="Arial"/>
          <w:b w:val="0"/>
          <w:i w:val="0"/>
          <w:caps w:val="0"/>
          <w:color w:val="0B0B0B"/>
          <w:sz w:val="22"/>
        </w:rPr>
        <w:t>Le NewGbonhi Lab est un espace de création, de diffusion et de vente destiné à faire émerger des projets indépendants liés à Abidjan et à sa culture contemporaine. Il ne fonctionne ni comme une marketplace sans direction, ni comme une simple vitrine : chaque résidence repose sur une relation créative réelle avec NewGbonhi.</w:t>
      </w:r>
    </w:p>
    <w:p>
      <w:pPr>
        <w:spacing w:after="120"/>
      </w:pPr>
      <w:r>
        <w:rPr>
          <w:rFonts w:ascii="Arial" w:hAnsi="Arial"/>
          <w:b w:val="0"/>
          <w:i w:val="0"/>
          <w:caps w:val="0"/>
          <w:color w:val="0B0B0B"/>
          <w:sz w:val="22"/>
        </w:rPr>
        <w:t>Ce pacte définit les règles communes avant l'entrée d'un créateur dans le Lab. Il protège l'identité de NewGbonhi, le travail du créateur et la compréhension économique de chaque collaboration.</w:t>
      </w:r>
    </w:p>
    <w:tbl>
      <w:tblPr>
        <w:tblW w:type="dxa" w:w="9360"/>
        <w:jc w:val="center"/>
        <w:tblLayout w:type="fixed"/>
        <w:tblLook w:firstColumn="1" w:firstRow="1" w:lastColumn="0" w:lastRow="0" w:noHBand="0" w:noVBand="1" w:val="04A0"/>
        <w:tblInd w:w="120" w:type="dxa"/>
        <w:tblBorders>
          <w:top w:val="single" w:sz="0" w:space="0" w:color="0B0B0B"/>
          <w:left w:val="single" w:sz="0" w:space="0" w:color="0B0B0B"/>
          <w:bottom w:val="single" w:sz="0" w:space="0" w:color="0B0B0B"/>
          <w:right w:val="single" w:sz="0" w:space="0" w:color="0B0B0B"/>
          <w:insideH w:val="single" w:sz="0" w:space="0" w:color="0B0B0B"/>
          <w:insideV w:val="single" w:sz="0" w:space="0" w:color="0B0B0B"/>
        </w:tblBorders>
      </w:tblPr>
      <w:tblGrid>
        <w:gridCol w:w="9360"/>
      </w:tblGrid>
      <w:tr>
        <w:tc>
          <w:tcPr>
            <w:tcW w:type="dxa" w:w="9360"/>
            <w:tcMar>
              <w:top w:w="120" w:type="dxa"/>
              <w:start w:w="140" w:type="dxa"/>
              <w:bottom w:w="120" w:type="dxa"/>
              <w:end w:w="140" w:type="dxa"/>
            </w:tcMar>
            <w:vAlign w:val="center"/>
            <w:shd w:fill="0B0B0B"/>
          </w:tcPr>
          <w:p>
            <w:pPr>
              <w:spacing w:after="100"/>
            </w:pPr>
            <w:r>
              <w:rPr>
                <w:rFonts w:ascii="Arial" w:hAnsi="Arial"/>
                <w:b/>
                <w:i w:val="0"/>
                <w:caps w:val="0"/>
                <w:color w:val="E10600"/>
                <w:sz w:val="18"/>
              </w:rPr>
              <w:t>PRINCIPE CENTRAL</w:t>
            </w:r>
          </w:p>
          <w:p>
            <w:pPr>
              <w:spacing w:after="0" w:line="288" w:lineRule="auto"/>
            </w:pPr>
            <w:r>
              <w:rPr>
                <w:rFonts w:ascii="Arial" w:hAnsi="Arial"/>
                <w:b/>
                <w:i w:val="0"/>
                <w:caps w:val="0"/>
                <w:color w:val="FFFFFF"/>
                <w:sz w:val="22"/>
              </w:rPr>
              <w:t>Aucune création n'est considérée comme un contenu gratuit dû à NewGbonhi. Toute collaboration fait l'objet d'un accord clair sur la production, la propriété, l'utilisation et la rémunération.</w:t>
            </w:r>
          </w:p>
        </w:tc>
      </w:tr>
    </w:tbl>
    <w:p>
      <w:pPr>
        <w:spacing w:after="0"/>
      </w:pPr>
    </w:p>
    <w:p>
      <w:pPr>
        <w:pStyle w:val="Heading2"/>
        <w:keepNext/>
      </w:pPr>
      <w:r>
        <w:t>Les engagements communs</w:t>
      </w:r>
    </w:p>
    <w:p>
      <w:pPr>
        <w:pStyle w:val="ListBullet"/>
        <w:spacing w:after="80" w:line="300" w:lineRule="auto"/>
        <w:ind w:left="540" w:hanging="271"/>
      </w:pPr>
      <w:r>
        <w:rPr>
          <w:rFonts w:ascii="Arial" w:hAnsi="Arial"/>
          <w:b w:val="0"/>
          <w:i w:val="0"/>
          <w:caps w:val="0"/>
          <w:color w:val="0B0B0B"/>
          <w:sz w:val="22"/>
        </w:rPr>
        <w:t>Créer une relation éditoriale et commerciale identifiable, fidèle à l'univers du Lab.</w:t>
      </w:r>
    </w:p>
    <w:p>
      <w:pPr>
        <w:pStyle w:val="ListBullet"/>
        <w:spacing w:after="80" w:line="300" w:lineRule="auto"/>
        <w:ind w:left="540" w:hanging="271"/>
      </w:pPr>
      <w:r>
        <w:rPr>
          <w:rFonts w:ascii="Arial" w:hAnsi="Arial"/>
          <w:b w:val="0"/>
          <w:i w:val="0"/>
          <w:caps w:val="0"/>
          <w:color w:val="0B0B0B"/>
          <w:sz w:val="22"/>
        </w:rPr>
        <w:t>Définir les responsabilités avant la mise en vente : production, stock, livraison, communication et service après-vente.</w:t>
      </w:r>
    </w:p>
    <w:p>
      <w:pPr>
        <w:pStyle w:val="ListBullet"/>
        <w:spacing w:after="80" w:line="300" w:lineRule="auto"/>
        <w:ind w:left="540" w:hanging="271"/>
      </w:pPr>
      <w:r>
        <w:rPr>
          <w:rFonts w:ascii="Arial" w:hAnsi="Arial"/>
          <w:b w:val="0"/>
          <w:i w:val="0"/>
          <w:caps w:val="0"/>
          <w:color w:val="0B0B0B"/>
          <w:sz w:val="22"/>
        </w:rPr>
        <w:t>Rendre les prix, commissions, délais de paiement et droits d'utilisation compréhensibles pour les deux parties.</w:t>
      </w:r>
    </w:p>
    <w:p>
      <w:pPr>
        <w:pStyle w:val="ListBullet"/>
        <w:spacing w:after="80" w:line="300" w:lineRule="auto"/>
        <w:ind w:left="540" w:hanging="271"/>
      </w:pPr>
      <w:r>
        <w:rPr>
          <w:rFonts w:ascii="Arial" w:hAnsi="Arial"/>
          <w:b w:val="0"/>
          <w:i w:val="0"/>
          <w:caps w:val="0"/>
          <w:color w:val="0B0B0B"/>
          <w:sz w:val="22"/>
        </w:rPr>
        <w:t>Privilégier la qualité, la transparence, le respect des personnes et la cohérence culturelle.</w:t>
      </w:r>
    </w:p>
    <w:p>
      <w:pPr>
        <w:pStyle w:val="Heading2"/>
        <w:keepNext/>
      </w:pPr>
      <w:r>
        <w:t>Statut du document</w:t>
      </w:r>
    </w:p>
    <w:p>
      <w:pPr>
        <w:spacing w:after="120"/>
      </w:pPr>
      <w:r>
        <w:rPr>
          <w:rFonts w:ascii="Arial" w:hAnsi="Arial"/>
          <w:b w:val="0"/>
          <w:i w:val="0"/>
          <w:caps w:val="0"/>
          <w:color w:val="0B0B0B"/>
          <w:sz w:val="22"/>
        </w:rPr>
        <w:t>Le présent document constitue une base d'engagement opérationnelle. La fiche d'accord annexée précise les choix propres à chaque résidence. Pour une utilisation contractuelle définitive, une validation juridique adaptée au droit applicable est recommandée.</w:t>
      </w:r>
    </w:p>
    <w:p>
      <w:r>
        <w:br w:type="page"/>
      </w:r>
    </w:p>
    <w:p>
      <w:pPr>
        <w:spacing w:before="100" w:after="100"/>
      </w:pPr>
      <w:r>
        <w:rPr>
          <w:rFonts w:ascii="Arial" w:hAnsi="Arial"/>
          <w:b/>
          <w:i w:val="0"/>
          <w:caps/>
          <w:color w:val="E10600"/>
          <w:sz w:val="17"/>
        </w:rPr>
        <w:t>01 / Entrer dans le Lab</w:t>
      </w:r>
    </w:p>
    <w:p>
      <w:pPr>
        <w:pStyle w:val="Heading1"/>
        <w:keepNext/>
      </w:pPr>
      <w:r>
        <w:t>Éligibilité et sélection</w:t>
      </w:r>
    </w:p>
    <w:p>
      <w:pPr>
        <w:spacing w:after="120"/>
      </w:pPr>
      <w:r>
        <w:rPr>
          <w:rFonts w:ascii="Arial" w:hAnsi="Arial"/>
          <w:b w:val="0"/>
          <w:i w:val="0"/>
          <w:caps w:val="0"/>
          <w:color w:val="0B0B0B"/>
          <w:sz w:val="22"/>
        </w:rPr>
        <w:t>Le Lab est ouvert aux créateurs, artistes, designers, photographes, studios et projets indépendants dont la démarche peut dialoguer avec l'identité NewGbonhi.</w:t>
      </w:r>
    </w:p>
    <w:p>
      <w:pPr>
        <w:pStyle w:val="Heading2"/>
        <w:keepNext/>
      </w:pPr>
      <w:r>
        <w:t>Critères d'entrée</w:t>
      </w:r>
    </w:p>
    <w:p>
      <w:pPr>
        <w:pStyle w:val="ListBullet"/>
        <w:spacing w:after="80" w:line="300" w:lineRule="auto"/>
        <w:ind w:left="540" w:hanging="271"/>
      </w:pPr>
      <w:r>
        <w:rPr>
          <w:rFonts w:ascii="Arial" w:hAnsi="Arial"/>
          <w:b w:val="0"/>
          <w:i w:val="0"/>
          <w:caps w:val="0"/>
          <w:color w:val="0B0B0B"/>
          <w:sz w:val="22"/>
        </w:rPr>
        <w:t>Une identité créative identifiable et un projet présenté de manière sincère.</w:t>
      </w:r>
    </w:p>
    <w:p>
      <w:pPr>
        <w:pStyle w:val="ListBullet"/>
        <w:spacing w:after="80" w:line="300" w:lineRule="auto"/>
        <w:ind w:left="540" w:hanging="271"/>
      </w:pPr>
      <w:r>
        <w:rPr>
          <w:rFonts w:ascii="Arial" w:hAnsi="Arial"/>
          <w:b w:val="0"/>
          <w:i w:val="0"/>
          <w:caps w:val="0"/>
          <w:color w:val="0B0B0B"/>
          <w:sz w:val="22"/>
        </w:rPr>
        <w:t>Des créations originales, réalisables et suffisamment abouties pour être proposées au public.</w:t>
      </w:r>
    </w:p>
    <w:p>
      <w:pPr>
        <w:pStyle w:val="ListBullet"/>
        <w:spacing w:after="80" w:line="300" w:lineRule="auto"/>
        <w:ind w:left="540" w:hanging="271"/>
      </w:pPr>
      <w:r>
        <w:rPr>
          <w:rFonts w:ascii="Arial" w:hAnsi="Arial"/>
          <w:b w:val="0"/>
          <w:i w:val="0"/>
          <w:caps w:val="0"/>
          <w:color w:val="0B0B0B"/>
          <w:sz w:val="22"/>
        </w:rPr>
        <w:t>Une qualité de production compatible avec les standards annoncés aux clients.</w:t>
      </w:r>
    </w:p>
    <w:p>
      <w:pPr>
        <w:pStyle w:val="ListBullet"/>
        <w:spacing w:after="80" w:line="300" w:lineRule="auto"/>
        <w:ind w:left="540" w:hanging="271"/>
      </w:pPr>
      <w:r>
        <w:rPr>
          <w:rFonts w:ascii="Arial" w:hAnsi="Arial"/>
          <w:b w:val="0"/>
          <w:i w:val="0"/>
          <w:caps w:val="0"/>
          <w:color w:val="0B0B0B"/>
          <w:sz w:val="22"/>
        </w:rPr>
        <w:t>Une communication respectueuse de la communauté, des collaborateurs et de l'image du Lab.</w:t>
      </w:r>
    </w:p>
    <w:p>
      <w:pPr>
        <w:pStyle w:val="ListBullet"/>
        <w:spacing w:after="80" w:line="300" w:lineRule="auto"/>
        <w:ind w:left="540" w:hanging="271"/>
      </w:pPr>
      <w:r>
        <w:rPr>
          <w:rFonts w:ascii="Arial" w:hAnsi="Arial"/>
          <w:b w:val="0"/>
          <w:i w:val="0"/>
          <w:caps w:val="0"/>
          <w:color w:val="0B0B0B"/>
          <w:sz w:val="22"/>
        </w:rPr>
        <w:t>L'acceptation du principe de collaboration NewGbonhi × Créateur.</w:t>
      </w:r>
    </w:p>
    <w:p>
      <w:pPr>
        <w:pStyle w:val="Heading2"/>
        <w:keepNext/>
      </w:pPr>
      <w:r>
        <w:t>Le pacte d'entrée : une collaboration réelle</w:t>
      </w:r>
    </w:p>
    <w:p>
      <w:pPr>
        <w:spacing w:after="120"/>
      </w:pPr>
      <w:r>
        <w:rPr>
          <w:rFonts w:ascii="Arial" w:hAnsi="Arial"/>
          <w:b w:val="0"/>
          <w:i w:val="0"/>
          <w:caps w:val="0"/>
          <w:color w:val="0B0B0B"/>
          <w:sz w:val="22"/>
        </w:rPr>
        <w:t>Pour rejoindre le Lab, le créateur développe avec NewGbonhi au moins une pièce, une image, une expérience ou un objet collaboratif. Pour un projet textile, cette entrée peut prendre la forme d'un t-shirt NewGbonhi intégré à une capsule du créateur.</w:t>
      </w:r>
    </w:p>
    <w:p>
      <w:pPr>
        <w:spacing w:after="120"/>
      </w:pPr>
      <w:r>
        <w:rPr>
          <w:rFonts w:ascii="Arial" w:hAnsi="Arial"/>
          <w:b w:val="0"/>
          <w:i w:val="0"/>
          <w:caps w:val="0"/>
          <w:color w:val="0B0B0B"/>
          <w:sz w:val="22"/>
        </w:rPr>
        <w:t>La collaboration sert à vérifier l'alignement créatif, produire une histoire commune et présenter le résident à la communauté. Son format, son calendrier et sa rémunération sont validés avant le début de la production.</w:t>
      </w:r>
    </w:p>
    <w:p>
      <w:pPr>
        <w:pStyle w:val="Heading2"/>
        <w:keepNext/>
      </w:pPr>
      <w:r>
        <w:t>Processus d'admission</w:t>
      </w:r>
    </w:p>
    <w:p>
      <w:pPr>
        <w:pStyle w:val="ListNumber"/>
        <w:spacing w:after="80" w:line="300" w:lineRule="auto"/>
        <w:ind w:left="540" w:hanging="271"/>
      </w:pPr>
      <w:r>
        <w:rPr>
          <w:rFonts w:ascii="Arial" w:hAnsi="Arial"/>
          <w:b w:val="0"/>
          <w:i w:val="0"/>
          <w:caps w:val="0"/>
          <w:color w:val="0B0B0B"/>
          <w:sz w:val="22"/>
        </w:rPr>
        <w:t>Dépôt du projet et présentation du créateur.</w:t>
      </w:r>
    </w:p>
    <w:p>
      <w:pPr>
        <w:pStyle w:val="ListNumber"/>
        <w:spacing w:after="80" w:line="300" w:lineRule="auto"/>
        <w:ind w:left="540" w:hanging="271"/>
      </w:pPr>
      <w:r>
        <w:rPr>
          <w:rFonts w:ascii="Arial" w:hAnsi="Arial"/>
          <w:b w:val="0"/>
          <w:i w:val="0"/>
          <w:caps w:val="0"/>
          <w:color w:val="0B0B0B"/>
          <w:sz w:val="22"/>
        </w:rPr>
        <w:t>Échange éditorial avec NewGbonhi et vérification de la faisabilité.</w:t>
      </w:r>
    </w:p>
    <w:p>
      <w:pPr>
        <w:pStyle w:val="ListNumber"/>
        <w:spacing w:after="80" w:line="300" w:lineRule="auto"/>
        <w:ind w:left="540" w:hanging="271"/>
      </w:pPr>
      <w:r>
        <w:rPr>
          <w:rFonts w:ascii="Arial" w:hAnsi="Arial"/>
          <w:b w:val="0"/>
          <w:i w:val="0"/>
          <w:caps w:val="0"/>
          <w:color w:val="0B0B0B"/>
          <w:sz w:val="22"/>
        </w:rPr>
        <w:t>Définition de la collaboration d'entrée et du catalogue proposé.</w:t>
      </w:r>
    </w:p>
    <w:p>
      <w:pPr>
        <w:pStyle w:val="ListNumber"/>
        <w:spacing w:after="80" w:line="300" w:lineRule="auto"/>
        <w:ind w:left="540" w:hanging="271"/>
      </w:pPr>
      <w:r>
        <w:rPr>
          <w:rFonts w:ascii="Arial" w:hAnsi="Arial"/>
          <w:b w:val="0"/>
          <w:i w:val="0"/>
          <w:caps w:val="0"/>
          <w:color w:val="0B0B0B"/>
          <w:sz w:val="22"/>
        </w:rPr>
        <w:t>Validation de la fiche d'accord : modèle économique, responsabilités et calendrier.</w:t>
      </w:r>
    </w:p>
    <w:p>
      <w:pPr>
        <w:pStyle w:val="ListNumber"/>
        <w:spacing w:after="80" w:line="300" w:lineRule="auto"/>
        <w:ind w:left="540" w:hanging="271"/>
      </w:pPr>
      <w:r>
        <w:rPr>
          <w:rFonts w:ascii="Arial" w:hAnsi="Arial"/>
          <w:b w:val="0"/>
          <w:i w:val="0"/>
          <w:caps w:val="0"/>
          <w:color w:val="0B0B0B"/>
          <w:sz w:val="22"/>
        </w:rPr>
        <w:t>Production, contrôle qualité, création des contenus et ouverture de la résidence.</w:t>
      </w:r>
    </w:p>
    <w:p>
      <w:r>
        <w:br w:type="page"/>
      </w:r>
    </w:p>
    <w:p>
      <w:pPr>
        <w:spacing w:before="100" w:after="100"/>
      </w:pPr>
      <w:r>
        <w:rPr>
          <w:rFonts w:ascii="Arial" w:hAnsi="Arial"/>
          <w:b/>
          <w:i w:val="0"/>
          <w:caps/>
          <w:color w:val="E10600"/>
          <w:sz w:val="17"/>
        </w:rPr>
        <w:t>02 / Deux relations, deux règles</w:t>
      </w:r>
    </w:p>
    <w:p>
      <w:pPr>
        <w:pStyle w:val="Heading1"/>
        <w:keepNext/>
      </w:pPr>
      <w:r>
        <w:t>Séparer la collaboration du catalogue résident</w:t>
      </w:r>
    </w:p>
    <w:p>
      <w:pPr>
        <w:spacing w:after="120"/>
      </w:pPr>
      <w:r>
        <w:rPr>
          <w:rFonts w:ascii="Arial" w:hAnsi="Arial"/>
          <w:b w:val="0"/>
          <w:i w:val="0"/>
          <w:caps w:val="0"/>
          <w:color w:val="0B0B0B"/>
          <w:sz w:val="22"/>
        </w:rPr>
        <w:t>Le Lab distingue volontairement la pièce co-créée avec NewGbonhi des créations personnelles du résident. Cette séparation évite qu'une même commission soit appliquée à des réalités différentes.</w:t>
      </w:r>
    </w:p>
    <w:tbl>
      <w:tblPr>
        <w:tblW w:type="dxa" w:w="8424"/>
        <w:tblLayout w:type="fixed"/>
        <w:tblLook w:firstColumn="1" w:firstRow="1" w:lastColumn="0" w:lastRow="0" w:noHBand="0" w:noVBand="1" w:val="04A0"/>
        <w:jc w:val="center"/>
        <w:tblInd w:w="0" w:type="dxa"/>
        <w:tblBorders>
          <w:top w:val="single" w:sz="6" w:space="0" w:color="E6E3DC"/>
          <w:left w:val="single" w:sz="6" w:space="0" w:color="E6E3DC"/>
          <w:bottom w:val="single" w:sz="6" w:space="0" w:color="E6E3DC"/>
          <w:right w:val="single" w:sz="6" w:space="0" w:color="E6E3DC"/>
          <w:insideH w:val="single" w:sz="6" w:space="0" w:color="E6E3DC"/>
          <w:insideV w:val="single" w:sz="6" w:space="0" w:color="E6E3DC"/>
        </w:tblBorders>
      </w:tblPr>
      <w:tblGrid>
        <w:gridCol w:w="1872"/>
        <w:gridCol w:w="6552"/>
      </w:tblGrid>
      <w:tr>
        <w:tc>
          <w:tcPr>
            <w:tcW w:type="dxa" w:w="1872"/>
            <w:tcMar>
              <w:top w:w="120" w:type="dxa"/>
              <w:start w:w="140" w:type="dxa"/>
              <w:bottom w:w="120" w:type="dxa"/>
              <w:end w:w="140" w:type="dxa"/>
            </w:tcMar>
            <w:vAlign w:val="center"/>
            <w:shd w:fill="F4F1E9"/>
          </w:tcPr>
          <w:p>
            <w:r>
              <w:rPr>
                <w:rFonts w:ascii="Arial" w:hAnsi="Arial"/>
                <w:b/>
                <w:i w:val="0"/>
                <w:caps w:val="0"/>
                <w:color w:val="E10600"/>
                <w:sz w:val="19"/>
              </w:rPr>
              <w:t>MODÈLE A</w:t>
            </w:r>
          </w:p>
        </w:tc>
        <w:tc>
          <w:tcPr>
            <w:tcW w:type="dxa" w:w="6552"/>
            <w:tcMar>
              <w:top w:w="120" w:type="dxa"/>
              <w:start w:w="140" w:type="dxa"/>
              <w:bottom w:w="120" w:type="dxa"/>
              <w:end w:w="140" w:type="dxa"/>
            </w:tcMar>
            <w:vAlign w:val="center"/>
          </w:tcPr>
          <w:p>
            <w:pPr>
              <w:spacing w:after="0"/>
            </w:pPr>
            <w:r>
              <w:rPr>
                <w:rFonts w:ascii="Arial" w:hAnsi="Arial"/>
                <w:b w:val="0"/>
                <w:i w:val="0"/>
                <w:caps w:val="0"/>
                <w:color w:val="0B0B0B"/>
                <w:sz w:val="21"/>
              </w:rPr>
              <w:t>Collaboration NewGbonhi × Créateur : une pièce ou capsule développée ensemble, avec un accord spécifique sur les apports, la propriété et la rémunération.</w:t>
            </w:r>
          </w:p>
        </w:tc>
      </w:tr>
      <w:tr>
        <w:tc>
          <w:tcPr>
            <w:tcW w:type="dxa" w:w="1872"/>
            <w:tcMar>
              <w:top w:w="120" w:type="dxa"/>
              <w:start w:w="140" w:type="dxa"/>
              <w:bottom w:w="120" w:type="dxa"/>
              <w:end w:w="140" w:type="dxa"/>
            </w:tcMar>
            <w:vAlign w:val="center"/>
            <w:shd w:fill="F4F1E9"/>
          </w:tcPr>
          <w:p>
            <w:r>
              <w:rPr>
                <w:rFonts w:ascii="Arial" w:hAnsi="Arial"/>
                <w:b/>
                <w:i w:val="0"/>
                <w:caps w:val="0"/>
                <w:color w:val="E10600"/>
                <w:sz w:val="19"/>
              </w:rPr>
              <w:t>MODÈLE B</w:t>
            </w:r>
          </w:p>
        </w:tc>
        <w:tc>
          <w:tcPr>
            <w:tcW w:type="dxa" w:w="6552"/>
            <w:tcMar>
              <w:top w:w="120" w:type="dxa"/>
              <w:start w:w="140" w:type="dxa"/>
              <w:bottom w:w="120" w:type="dxa"/>
              <w:end w:w="140" w:type="dxa"/>
            </w:tcMar>
            <w:vAlign w:val="center"/>
          </w:tcPr>
          <w:p>
            <w:pPr>
              <w:spacing w:after="0"/>
            </w:pPr>
            <w:r>
              <w:rPr>
                <w:rFonts w:ascii="Arial" w:hAnsi="Arial"/>
                <w:b w:val="0"/>
                <w:i w:val="0"/>
                <w:caps w:val="0"/>
                <w:color w:val="0B0B0B"/>
                <w:sz w:val="21"/>
              </w:rPr>
              <w:t>Catalogue du résident : créations personnelles distribuées sur le site NewGbonhi en échange d'une commission de vente et de services.</w:t>
            </w:r>
          </w:p>
        </w:tc>
      </w:tr>
    </w:tbl>
    <w:p>
      <w:pPr>
        <w:spacing w:after="0"/>
      </w:pPr>
    </w:p>
    <w:p>
      <w:pPr>
        <w:pStyle w:val="Heading2"/>
        <w:keepNext/>
      </w:pPr>
      <w:r>
        <w:t>Modèle A — Collaboration NewGbonhi × Créateur</w:t>
      </w:r>
    </w:p>
    <w:p>
      <w:pPr>
        <w:spacing w:after="120"/>
      </w:pPr>
      <w:r>
        <w:rPr>
          <w:rFonts w:ascii="Arial" w:hAnsi="Arial"/>
          <w:b w:val="0"/>
          <w:i w:val="0"/>
          <w:caps w:val="0"/>
          <w:color w:val="0B0B0B"/>
          <w:sz w:val="22"/>
        </w:rPr>
        <w:t>Chaque collaboration fait l'objet d'une fiche dédiée. Selon le projet, les parties choisissent l'un des mécanismes suivants :</w:t>
      </w:r>
    </w:p>
    <w:p>
      <w:pPr>
        <w:pStyle w:val="ListBullet"/>
        <w:spacing w:after="80" w:line="300" w:lineRule="auto"/>
        <w:ind w:left="540" w:hanging="271"/>
      </w:pPr>
      <w:r>
        <w:rPr>
          <w:rFonts w:ascii="Arial" w:hAnsi="Arial"/>
          <w:b w:val="0"/>
          <w:i w:val="0"/>
          <w:caps w:val="0"/>
          <w:color w:val="0B0B0B"/>
          <w:sz w:val="22"/>
        </w:rPr>
        <w:t>Partage des revenus : chaque partie reçoit un pourcentage du montant net encaissé.</w:t>
      </w:r>
    </w:p>
    <w:p>
      <w:pPr>
        <w:pStyle w:val="ListBullet"/>
        <w:spacing w:after="80" w:line="300" w:lineRule="auto"/>
        <w:ind w:left="540" w:hanging="271"/>
      </w:pPr>
      <w:r>
        <w:rPr>
          <w:rFonts w:ascii="Arial" w:hAnsi="Arial"/>
          <w:b w:val="0"/>
          <w:i w:val="0"/>
          <w:caps w:val="0"/>
          <w:color w:val="0B0B0B"/>
          <w:sz w:val="22"/>
        </w:rPr>
        <w:t>Forfait créatif : le créateur reçoit une rémunération définie pour sa contribution.</w:t>
      </w:r>
    </w:p>
    <w:p>
      <w:pPr>
        <w:pStyle w:val="ListBullet"/>
        <w:spacing w:after="80" w:line="300" w:lineRule="auto"/>
        <w:ind w:left="540" w:hanging="271"/>
      </w:pPr>
      <w:r>
        <w:rPr>
          <w:rFonts w:ascii="Arial" w:hAnsi="Arial"/>
          <w:b w:val="0"/>
          <w:i w:val="0"/>
          <w:caps w:val="0"/>
          <w:color w:val="0B0B0B"/>
          <w:sz w:val="22"/>
        </w:rPr>
        <w:t>Forfait + part variable : un minimum garanti est complété par un pourcentage sur les ventes.</w:t>
      </w:r>
    </w:p>
    <w:tbl>
      <w:tblPr>
        <w:tblW w:type="dxa" w:w="9360"/>
        <w:jc w:val="center"/>
        <w:tblLayout w:type="fixed"/>
        <w:tblLook w:firstColumn="1" w:firstRow="1" w:lastColumn="0" w:lastRow="0" w:noHBand="0" w:noVBand="1" w:val="04A0"/>
        <w:tblInd w:w="120" w:type="dxa"/>
        <w:tblBorders>
          <w:top w:val="single" w:sz="0" w:space="0" w:color="0B0B0B"/>
          <w:left w:val="single" w:sz="0" w:space="0" w:color="0B0B0B"/>
          <w:bottom w:val="single" w:sz="0" w:space="0" w:color="0B0B0B"/>
          <w:right w:val="single" w:sz="0" w:space="0" w:color="0B0B0B"/>
          <w:insideH w:val="single" w:sz="0" w:space="0" w:color="0B0B0B"/>
          <w:insideV w:val="single" w:sz="0" w:space="0" w:color="0B0B0B"/>
        </w:tblBorders>
      </w:tblPr>
      <w:tblGrid>
        <w:gridCol w:w="9360"/>
      </w:tblGrid>
      <w:tr>
        <w:tc>
          <w:tcPr>
            <w:tcW w:type="dxa" w:w="9360"/>
            <w:tcMar>
              <w:top w:w="120" w:type="dxa"/>
              <w:start w:w="140" w:type="dxa"/>
              <w:bottom w:w="120" w:type="dxa"/>
              <w:end w:w="140" w:type="dxa"/>
            </w:tcMar>
            <w:vAlign w:val="center"/>
            <w:shd w:fill="0B0B0B"/>
          </w:tcPr>
          <w:p>
            <w:pPr>
              <w:spacing w:after="100"/>
            </w:pPr>
            <w:r>
              <w:rPr>
                <w:rFonts w:ascii="Arial" w:hAnsi="Arial"/>
                <w:b/>
                <w:i w:val="0"/>
                <w:caps w:val="0"/>
                <w:color w:val="E10600"/>
                <w:sz w:val="18"/>
              </w:rPr>
              <w:t>À DÉCIDER AVANT PRODUCTION</w:t>
            </w:r>
          </w:p>
          <w:p>
            <w:pPr>
              <w:spacing w:after="0" w:line="288" w:lineRule="auto"/>
            </w:pPr>
            <w:r>
              <w:rPr>
                <w:rFonts w:ascii="Arial" w:hAnsi="Arial"/>
                <w:b/>
                <w:i w:val="0"/>
                <w:caps w:val="0"/>
                <w:color w:val="FFFFFF"/>
                <w:sz w:val="22"/>
              </w:rPr>
              <w:t>Qui finance ? Qui produit ? Qui possède le stock ? Qui détient les fichiers sources ? Pendant combien de temps chaque partie peut-elle utiliser les visuels, noms et logos ?</w:t>
            </w:r>
          </w:p>
        </w:tc>
      </w:tr>
    </w:tbl>
    <w:p>
      <w:pPr>
        <w:spacing w:after="0"/>
      </w:pPr>
    </w:p>
    <w:p>
      <w:pPr>
        <w:pStyle w:val="Heading2"/>
        <w:keepNext/>
      </w:pPr>
      <w:r>
        <w:t>Modèle B — Catalogue personnel du résident</w:t>
      </w:r>
    </w:p>
    <w:p>
      <w:pPr>
        <w:spacing w:after="120"/>
      </w:pPr>
      <w:r>
        <w:rPr>
          <w:rFonts w:ascii="Arial" w:hAnsi="Arial"/>
          <w:b w:val="0"/>
          <w:i w:val="0"/>
          <w:caps w:val="0"/>
          <w:color w:val="0B0B0B"/>
          <w:sz w:val="22"/>
        </w:rPr>
        <w:t>Le créateur reste propriétaire de ses œuvres et autorise NewGbonhi à les présenter, les promouvoir et les vendre pendant la durée de la résidence. La commission rémunère les services réellement pris en charge par NewGbonhi.</w:t>
      </w:r>
    </w:p>
    <w:p>
      <w:r>
        <w:br w:type="page"/>
      </w:r>
    </w:p>
    <w:p>
      <w:pPr>
        <w:spacing w:before="100" w:after="100"/>
      </w:pPr>
      <w:r>
        <w:rPr>
          <w:rFonts w:ascii="Arial" w:hAnsi="Arial"/>
          <w:b/>
          <w:i w:val="0"/>
          <w:caps/>
          <w:color w:val="E10600"/>
          <w:sz w:val="17"/>
        </w:rPr>
        <w:t>03 / Modèle économique</w:t>
      </w:r>
    </w:p>
    <w:p>
      <w:pPr>
        <w:pStyle w:val="Heading1"/>
        <w:keepNext/>
      </w:pPr>
      <w:r>
        <w:t>Commission recommandée</w:t>
      </w:r>
    </w:p>
    <w:p>
      <w:pPr>
        <w:spacing w:after="120"/>
      </w:pPr>
      <w:r>
        <w:rPr>
          <w:rFonts w:ascii="Arial" w:hAnsi="Arial"/>
          <w:b w:val="0"/>
          <w:i w:val="0"/>
          <w:caps w:val="0"/>
          <w:color w:val="0B0B0B"/>
          <w:sz w:val="22"/>
        </w:rPr>
        <w:t>Pour le lancement, un modèle simple à deux niveaux est recommandé. Le taux exact applicable au résident est inscrit dans la fiche d'accord.</w:t>
      </w:r>
    </w:p>
    <w:tbl>
      <w:tblPr>
        <w:tblW w:type="dxa" w:w="8424"/>
        <w:tblLayout w:type="fixed"/>
        <w:tblLook w:firstColumn="1" w:firstRow="1" w:lastColumn="0" w:lastRow="0" w:noHBand="0" w:noVBand="1" w:val="04A0"/>
        <w:jc w:val="center"/>
        <w:tblInd w:w="0" w:type="dxa"/>
        <w:tblBorders>
          <w:top w:val="single" w:sz="6" w:space="0" w:color="E6E3DC"/>
          <w:left w:val="single" w:sz="6" w:space="0" w:color="E6E3DC"/>
          <w:bottom w:val="single" w:sz="6" w:space="0" w:color="E6E3DC"/>
          <w:right w:val="single" w:sz="6" w:space="0" w:color="E6E3DC"/>
          <w:insideH w:val="single" w:sz="6" w:space="0" w:color="E6E3DC"/>
          <w:insideV w:val="single" w:sz="6" w:space="0" w:color="E6E3DC"/>
        </w:tblBorders>
      </w:tblPr>
      <w:tblGrid>
        <w:gridCol w:w="1872"/>
        <w:gridCol w:w="6552"/>
      </w:tblGrid>
      <w:tr>
        <w:tc>
          <w:tcPr>
            <w:tcW w:type="dxa" w:w="1872"/>
            <w:tcMar>
              <w:top w:w="120" w:type="dxa"/>
              <w:start w:w="140" w:type="dxa"/>
              <w:bottom w:w="120" w:type="dxa"/>
              <w:end w:w="140" w:type="dxa"/>
            </w:tcMar>
            <w:vAlign w:val="center"/>
            <w:shd w:fill="F4F1E9"/>
          </w:tcPr>
          <w:p>
            <w:r>
              <w:rPr>
                <w:rFonts w:ascii="Arial" w:hAnsi="Arial"/>
                <w:b/>
                <w:i w:val="0"/>
                <w:caps w:val="0"/>
                <w:color w:val="E10600"/>
                <w:sz w:val="19"/>
              </w:rPr>
              <w:t>25 %</w:t>
            </w:r>
          </w:p>
        </w:tc>
        <w:tc>
          <w:tcPr>
            <w:tcW w:type="dxa" w:w="6552"/>
            <w:tcMar>
              <w:top w:w="120" w:type="dxa"/>
              <w:start w:w="140" w:type="dxa"/>
              <w:bottom w:w="120" w:type="dxa"/>
              <w:end w:w="140" w:type="dxa"/>
            </w:tcMar>
            <w:vAlign w:val="center"/>
          </w:tcPr>
          <w:p>
            <w:pPr>
              <w:spacing w:after="0"/>
            </w:pPr>
            <w:r>
              <w:rPr>
                <w:rFonts w:ascii="Arial" w:hAnsi="Arial"/>
                <w:b w:val="0"/>
                <w:i w:val="0"/>
                <w:caps w:val="0"/>
                <w:color w:val="0B0B0B"/>
                <w:sz w:val="21"/>
              </w:rPr>
              <w:t>Le créateur finance et gère la production, conserve le stock et fournit les pièces prêtes à être expédiées. NewGbonhi assure la mise en ligne, l'encaissement et la visibilité éditoriale convenue.</w:t>
            </w:r>
          </w:p>
        </w:tc>
      </w:tr>
      <w:tr>
        <w:tc>
          <w:tcPr>
            <w:tcW w:type="dxa" w:w="1872"/>
            <w:tcMar>
              <w:top w:w="120" w:type="dxa"/>
              <w:start w:w="140" w:type="dxa"/>
              <w:bottom w:w="120" w:type="dxa"/>
              <w:end w:w="140" w:type="dxa"/>
            </w:tcMar>
            <w:vAlign w:val="center"/>
            <w:shd w:fill="F4F1E9"/>
          </w:tcPr>
          <w:p>
            <w:r>
              <w:rPr>
                <w:rFonts w:ascii="Arial" w:hAnsi="Arial"/>
                <w:b/>
                <w:i w:val="0"/>
                <w:caps w:val="0"/>
                <w:color w:val="E10600"/>
                <w:sz w:val="19"/>
              </w:rPr>
              <w:t>30–35 %</w:t>
            </w:r>
          </w:p>
        </w:tc>
        <w:tc>
          <w:tcPr>
            <w:tcW w:type="dxa" w:w="6552"/>
            <w:tcMar>
              <w:top w:w="120" w:type="dxa"/>
              <w:start w:w="140" w:type="dxa"/>
              <w:bottom w:w="120" w:type="dxa"/>
              <w:end w:w="140" w:type="dxa"/>
            </w:tcMar>
            <w:vAlign w:val="center"/>
          </w:tcPr>
          <w:p>
            <w:pPr>
              <w:spacing w:after="0"/>
            </w:pPr>
            <w:r>
              <w:rPr>
                <w:rFonts w:ascii="Arial" w:hAnsi="Arial"/>
                <w:b w:val="0"/>
                <w:i w:val="0"/>
                <w:caps w:val="0"/>
                <w:color w:val="0B0B0B"/>
                <w:sz w:val="21"/>
              </w:rPr>
              <w:t>NewGbonhi prend en charge une part renforcée des opérations : stockage, préparation, expédition, service après-vente et communication commerciale.</w:t>
            </w:r>
          </w:p>
        </w:tc>
      </w:tr>
      <w:tr>
        <w:tc>
          <w:tcPr>
            <w:tcW w:type="dxa" w:w="1872"/>
            <w:tcMar>
              <w:top w:w="120" w:type="dxa"/>
              <w:start w:w="140" w:type="dxa"/>
              <w:bottom w:w="120" w:type="dxa"/>
              <w:end w:w="140" w:type="dxa"/>
            </w:tcMar>
            <w:vAlign w:val="center"/>
            <w:shd w:fill="F4F1E9"/>
          </w:tcPr>
          <w:p>
            <w:r>
              <w:rPr>
                <w:rFonts w:ascii="Arial" w:hAnsi="Arial"/>
                <w:b/>
                <w:i w:val="0"/>
                <w:caps w:val="0"/>
                <w:color w:val="E10600"/>
                <w:sz w:val="19"/>
              </w:rPr>
              <w:t>SUR MESURE</w:t>
            </w:r>
          </w:p>
        </w:tc>
        <w:tc>
          <w:tcPr>
            <w:tcW w:type="dxa" w:w="6552"/>
            <w:tcMar>
              <w:top w:w="120" w:type="dxa"/>
              <w:start w:w="140" w:type="dxa"/>
              <w:bottom w:w="120" w:type="dxa"/>
              <w:end w:w="140" w:type="dxa"/>
            </w:tcMar>
            <w:vAlign w:val="center"/>
          </w:tcPr>
          <w:p>
            <w:pPr>
              <w:spacing w:after="0"/>
            </w:pPr>
            <w:r>
              <w:rPr>
                <w:rFonts w:ascii="Arial" w:hAnsi="Arial"/>
                <w:b w:val="0"/>
                <w:i w:val="0"/>
                <w:caps w:val="0"/>
                <w:color w:val="0B0B0B"/>
                <w:sz w:val="21"/>
              </w:rPr>
              <w:t>Les projets nécessitant une production spécifique, une campagne importante ou un investissement partagé font l'objet d'un budget et d'une répartition distincts.</w:t>
            </w:r>
          </w:p>
        </w:tc>
      </w:tr>
    </w:tbl>
    <w:p>
      <w:pPr>
        <w:spacing w:after="0"/>
      </w:pPr>
    </w:p>
    <w:p>
      <w:pPr>
        <w:pStyle w:val="Heading2"/>
        <w:keepNext/>
      </w:pPr>
      <w:r>
        <w:t>Base de calcul</w:t>
      </w:r>
    </w:p>
    <w:p>
      <w:pPr>
        <w:spacing w:after="120"/>
      </w:pPr>
      <w:r>
        <w:rPr>
          <w:rFonts w:ascii="Arial" w:hAnsi="Arial"/>
          <w:b w:val="0"/>
          <w:i w:val="0"/>
          <w:caps w:val="0"/>
          <w:color w:val="0B0B0B"/>
          <w:sz w:val="22"/>
        </w:rPr>
        <w:t>Sauf accord contraire, la commission est calculée sur le montant net réellement encaissé pour le produit, après déduction des remboursements, annulations et réductions directement appliquées à la vente. Les frais de livraison facturés au client ne sont pas inclus dans cette base.</w:t>
      </w:r>
    </w:p>
    <w:p>
      <w:pPr>
        <w:spacing w:after="120"/>
      </w:pPr>
      <w:r>
        <w:rPr>
          <w:rFonts w:ascii="Arial" w:hAnsi="Arial"/>
          <w:b w:val="0"/>
          <w:i w:val="0"/>
          <w:caps w:val="0"/>
          <w:color w:val="0B0B0B"/>
          <w:sz w:val="22"/>
        </w:rPr>
        <w:t>Les frais de paiement, taxes éventuelles, remises promotionnelles et coûts exceptionnels doivent être identifiés dans la fiche d'accord afin d'éviter toute interprétation différente.</w:t>
      </w:r>
    </w:p>
    <w:p>
      <w:pPr>
        <w:pStyle w:val="Heading2"/>
        <w:keepNext/>
      </w:pPr>
      <w:r>
        <w:t>Prix et promotions</w:t>
      </w:r>
    </w:p>
    <w:p>
      <w:pPr>
        <w:pStyle w:val="ListBullet"/>
        <w:spacing w:after="80" w:line="300" w:lineRule="auto"/>
        <w:ind w:left="540" w:hanging="271"/>
      </w:pPr>
      <w:r>
        <w:rPr>
          <w:rFonts w:ascii="Arial" w:hAnsi="Arial"/>
          <w:b w:val="0"/>
          <w:i w:val="0"/>
          <w:caps w:val="0"/>
          <w:color w:val="0B0B0B"/>
          <w:sz w:val="22"/>
        </w:rPr>
        <w:t>Le prix public est validé conjointement avant la mise en ligne.</w:t>
      </w:r>
    </w:p>
    <w:p>
      <w:pPr>
        <w:pStyle w:val="ListBullet"/>
        <w:spacing w:after="80" w:line="300" w:lineRule="auto"/>
        <w:ind w:left="540" w:hanging="271"/>
      </w:pPr>
      <w:r>
        <w:rPr>
          <w:rFonts w:ascii="Arial" w:hAnsi="Arial"/>
          <w:b w:val="0"/>
          <w:i w:val="0"/>
          <w:caps w:val="0"/>
          <w:color w:val="0B0B0B"/>
          <w:sz w:val="22"/>
        </w:rPr>
        <w:t>Aucune réduction affectant la rémunération du créateur n'est appliquée sans information préalable, sauf opération déjà autorisée dans la fiche d'accord.</w:t>
      </w:r>
    </w:p>
    <w:p>
      <w:pPr>
        <w:pStyle w:val="ListBullet"/>
        <w:spacing w:after="80" w:line="300" w:lineRule="auto"/>
        <w:ind w:left="540" w:hanging="271"/>
      </w:pPr>
      <w:r>
        <w:rPr>
          <w:rFonts w:ascii="Arial" w:hAnsi="Arial"/>
          <w:b w:val="0"/>
          <w:i w:val="0"/>
          <w:caps w:val="0"/>
          <w:color w:val="0B0B0B"/>
          <w:sz w:val="22"/>
        </w:rPr>
        <w:t>Les commandes annulées ou remboursées ne génèrent pas de commission ni de rémunération définitive.</w:t>
      </w:r>
    </w:p>
    <w:p>
      <w:pPr>
        <w:pStyle w:val="Heading2"/>
        <w:keepNext/>
      </w:pPr>
      <w:r>
        <w:t>Relevés et paiement</w:t>
      </w:r>
    </w:p>
    <w:p>
      <w:pPr>
        <w:spacing w:after="120"/>
      </w:pPr>
      <w:r>
        <w:rPr>
          <w:rFonts w:ascii="Arial" w:hAnsi="Arial"/>
          <w:b w:val="0"/>
          <w:i w:val="0"/>
          <w:caps w:val="0"/>
          <w:color w:val="0B0B0B"/>
          <w:sz w:val="22"/>
        </w:rPr>
        <w:t>NewGbonhi transmet un relevé périodique indiquant au minimum les ventes, retours, annulations, base nette, commission et montant dû. La fréquence de paiement — recommandation : mensuelle — et le délai de règlement sont précisés dans la fiche d'accord.</w:t>
      </w:r>
    </w:p>
    <w:p>
      <w:r>
        <w:br w:type="page"/>
      </w:r>
    </w:p>
    <w:p>
      <w:pPr>
        <w:spacing w:before="100" w:after="100"/>
      </w:pPr>
      <w:r>
        <w:rPr>
          <w:rFonts w:ascii="Arial" w:hAnsi="Arial"/>
          <w:b/>
          <w:i w:val="0"/>
          <w:caps/>
          <w:color w:val="E10600"/>
          <w:sz w:val="17"/>
        </w:rPr>
        <w:t>04 / Produire et livrer</w:t>
      </w:r>
    </w:p>
    <w:p>
      <w:pPr>
        <w:pStyle w:val="Heading1"/>
        <w:keepNext/>
      </w:pPr>
      <w:r>
        <w:t>Répartition des responsabilités</w:t>
      </w:r>
    </w:p>
    <w:p>
      <w:pPr>
        <w:spacing w:after="120"/>
      </w:pPr>
      <w:r>
        <w:rPr>
          <w:rFonts w:ascii="Arial" w:hAnsi="Arial"/>
          <w:b w:val="0"/>
          <w:i w:val="0"/>
          <w:caps w:val="0"/>
          <w:color w:val="0B0B0B"/>
          <w:sz w:val="22"/>
        </w:rPr>
        <w:t>La résidence ne commence qu'après attribution explicite de chaque responsabilité. Une partie ne peut être tenue responsable d'une mission qui ne lui a pas été confiée.</w:t>
      </w:r>
    </w:p>
    <w:tbl>
      <w:tblPr>
        <w:tblW w:type="dxa" w:w="8424"/>
        <w:tblLayout w:type="fixed"/>
        <w:tblLook w:firstColumn="1" w:firstRow="1" w:lastColumn="0" w:lastRow="0" w:noHBand="0" w:noVBand="1" w:val="04A0"/>
        <w:jc w:val="center"/>
        <w:tblInd w:w="0" w:type="dxa"/>
        <w:tblBorders>
          <w:top w:val="single" w:sz="6" w:space="0" w:color="E6E3DC"/>
          <w:left w:val="single" w:sz="6" w:space="0" w:color="E6E3DC"/>
          <w:bottom w:val="single" w:sz="6" w:space="0" w:color="E6E3DC"/>
          <w:right w:val="single" w:sz="6" w:space="0" w:color="E6E3DC"/>
          <w:insideH w:val="single" w:sz="6" w:space="0" w:color="E6E3DC"/>
          <w:insideV w:val="single" w:sz="6" w:space="0" w:color="E6E3DC"/>
        </w:tblBorders>
      </w:tblPr>
      <w:tblGrid>
        <w:gridCol w:w="1872"/>
        <w:gridCol w:w="6552"/>
      </w:tblGrid>
      <w:tr>
        <w:tc>
          <w:tcPr>
            <w:tcW w:type="dxa" w:w="1872"/>
            <w:tcMar>
              <w:top w:w="120" w:type="dxa"/>
              <w:start w:w="140" w:type="dxa"/>
              <w:bottom w:w="120" w:type="dxa"/>
              <w:end w:w="140" w:type="dxa"/>
            </w:tcMar>
            <w:vAlign w:val="center"/>
            <w:shd w:fill="F4F1E9"/>
          </w:tcPr>
          <w:p>
            <w:r>
              <w:rPr>
                <w:rFonts w:ascii="Arial" w:hAnsi="Arial"/>
                <w:b/>
                <w:i w:val="0"/>
                <w:caps w:val="0"/>
                <w:color w:val="E10600"/>
                <w:sz w:val="19"/>
              </w:rPr>
              <w:t>PRODUCTION</w:t>
            </w:r>
          </w:p>
        </w:tc>
        <w:tc>
          <w:tcPr>
            <w:tcW w:type="dxa" w:w="6552"/>
            <w:tcMar>
              <w:top w:w="120" w:type="dxa"/>
              <w:start w:w="140" w:type="dxa"/>
              <w:bottom w:w="120" w:type="dxa"/>
              <w:end w:w="140" w:type="dxa"/>
            </w:tcMar>
            <w:vAlign w:val="center"/>
          </w:tcPr>
          <w:p>
            <w:pPr>
              <w:spacing w:after="0"/>
            </w:pPr>
            <w:r>
              <w:rPr>
                <w:rFonts w:ascii="Arial" w:hAnsi="Arial"/>
                <w:b w:val="0"/>
                <w:i w:val="0"/>
                <w:caps w:val="0"/>
                <w:color w:val="0B0B0B"/>
                <w:sz w:val="21"/>
              </w:rPr>
              <w:t>Matières, fournisseurs, quantités, coûts, délais et validation des prototypes.</w:t>
            </w:r>
          </w:p>
        </w:tc>
      </w:tr>
      <w:tr>
        <w:tc>
          <w:tcPr>
            <w:tcW w:type="dxa" w:w="1872"/>
            <w:tcMar>
              <w:top w:w="120" w:type="dxa"/>
              <w:start w:w="140" w:type="dxa"/>
              <w:bottom w:w="120" w:type="dxa"/>
              <w:end w:w="140" w:type="dxa"/>
            </w:tcMar>
            <w:vAlign w:val="center"/>
            <w:shd w:fill="F4F1E9"/>
          </w:tcPr>
          <w:p>
            <w:r>
              <w:rPr>
                <w:rFonts w:ascii="Arial" w:hAnsi="Arial"/>
                <w:b/>
                <w:i w:val="0"/>
                <w:caps w:val="0"/>
                <w:color w:val="E10600"/>
                <w:sz w:val="19"/>
              </w:rPr>
              <w:t>QUALITÉ</w:t>
            </w:r>
          </w:p>
        </w:tc>
        <w:tc>
          <w:tcPr>
            <w:tcW w:type="dxa" w:w="6552"/>
            <w:tcMar>
              <w:top w:w="120" w:type="dxa"/>
              <w:start w:w="140" w:type="dxa"/>
              <w:bottom w:w="120" w:type="dxa"/>
              <w:end w:w="140" w:type="dxa"/>
            </w:tcMar>
            <w:vAlign w:val="center"/>
          </w:tcPr>
          <w:p>
            <w:pPr>
              <w:spacing w:after="0"/>
            </w:pPr>
            <w:r>
              <w:rPr>
                <w:rFonts w:ascii="Arial" w:hAnsi="Arial"/>
                <w:b w:val="0"/>
                <w:i w:val="0"/>
                <w:caps w:val="0"/>
                <w:color w:val="0B0B0B"/>
                <w:sz w:val="21"/>
              </w:rPr>
              <w:t>Conformité entre le produit livré, les photos, la description et les standards convenus.</w:t>
            </w:r>
          </w:p>
        </w:tc>
      </w:tr>
      <w:tr>
        <w:tc>
          <w:tcPr>
            <w:tcW w:type="dxa" w:w="1872"/>
            <w:tcMar>
              <w:top w:w="120" w:type="dxa"/>
              <w:start w:w="140" w:type="dxa"/>
              <w:bottom w:w="120" w:type="dxa"/>
              <w:end w:w="140" w:type="dxa"/>
            </w:tcMar>
            <w:vAlign w:val="center"/>
            <w:shd w:fill="F4F1E9"/>
          </w:tcPr>
          <w:p>
            <w:r>
              <w:rPr>
                <w:rFonts w:ascii="Arial" w:hAnsi="Arial"/>
                <w:b/>
                <w:i w:val="0"/>
                <w:caps w:val="0"/>
                <w:color w:val="E10600"/>
                <w:sz w:val="19"/>
              </w:rPr>
              <w:t>STOCK</w:t>
            </w:r>
          </w:p>
        </w:tc>
        <w:tc>
          <w:tcPr>
            <w:tcW w:type="dxa" w:w="6552"/>
            <w:tcMar>
              <w:top w:w="120" w:type="dxa"/>
              <w:start w:w="140" w:type="dxa"/>
              <w:bottom w:w="120" w:type="dxa"/>
              <w:end w:w="140" w:type="dxa"/>
            </w:tcMar>
            <w:vAlign w:val="center"/>
          </w:tcPr>
          <w:p>
            <w:pPr>
              <w:spacing w:after="0"/>
            </w:pPr>
            <w:r>
              <w:rPr>
                <w:rFonts w:ascii="Arial" w:hAnsi="Arial"/>
                <w:b w:val="0"/>
                <w:i w:val="0"/>
                <w:caps w:val="0"/>
                <w:color w:val="0B0B0B"/>
                <w:sz w:val="21"/>
              </w:rPr>
              <w:t>Lieu de stockage, inventaire de départ, suivi des quantités, réassort et traitement des invendus.</w:t>
            </w:r>
          </w:p>
        </w:tc>
      </w:tr>
      <w:tr>
        <w:tc>
          <w:tcPr>
            <w:tcW w:type="dxa" w:w="1872"/>
            <w:tcMar>
              <w:top w:w="120" w:type="dxa"/>
              <w:start w:w="140" w:type="dxa"/>
              <w:bottom w:w="120" w:type="dxa"/>
              <w:end w:w="140" w:type="dxa"/>
            </w:tcMar>
            <w:vAlign w:val="center"/>
            <w:shd w:fill="F4F1E9"/>
          </w:tcPr>
          <w:p>
            <w:r>
              <w:rPr>
                <w:rFonts w:ascii="Arial" w:hAnsi="Arial"/>
                <w:b/>
                <w:i w:val="0"/>
                <w:caps w:val="0"/>
                <w:color w:val="E10600"/>
                <w:sz w:val="19"/>
              </w:rPr>
              <w:t>EXPÉDITION</w:t>
            </w:r>
          </w:p>
        </w:tc>
        <w:tc>
          <w:tcPr>
            <w:tcW w:type="dxa" w:w="6552"/>
            <w:tcMar>
              <w:top w:w="120" w:type="dxa"/>
              <w:start w:w="140" w:type="dxa"/>
              <w:bottom w:w="120" w:type="dxa"/>
              <w:end w:w="140" w:type="dxa"/>
            </w:tcMar>
            <w:vAlign w:val="center"/>
          </w:tcPr>
          <w:p>
            <w:pPr>
              <w:spacing w:after="0"/>
            </w:pPr>
            <w:r>
              <w:rPr>
                <w:rFonts w:ascii="Arial" w:hAnsi="Arial"/>
                <w:b w:val="0"/>
                <w:i w:val="0"/>
                <w:caps w:val="0"/>
                <w:color w:val="0B0B0B"/>
                <w:sz w:val="21"/>
              </w:rPr>
              <w:t>Emballage, préparation, transport, preuve d'envoi et délais annoncés au client.</w:t>
            </w:r>
          </w:p>
        </w:tc>
      </w:tr>
      <w:tr>
        <w:tc>
          <w:tcPr>
            <w:tcW w:type="dxa" w:w="1872"/>
            <w:tcMar>
              <w:top w:w="120" w:type="dxa"/>
              <w:start w:w="140" w:type="dxa"/>
              <w:bottom w:w="120" w:type="dxa"/>
              <w:end w:w="140" w:type="dxa"/>
            </w:tcMar>
            <w:vAlign w:val="center"/>
            <w:shd w:fill="F4F1E9"/>
          </w:tcPr>
          <w:p>
            <w:r>
              <w:rPr>
                <w:rFonts w:ascii="Arial" w:hAnsi="Arial"/>
                <w:b/>
                <w:i w:val="0"/>
                <w:caps w:val="0"/>
                <w:color w:val="E10600"/>
                <w:sz w:val="19"/>
              </w:rPr>
              <w:t>SAV</w:t>
            </w:r>
          </w:p>
        </w:tc>
        <w:tc>
          <w:tcPr>
            <w:tcW w:type="dxa" w:w="6552"/>
            <w:tcMar>
              <w:top w:w="120" w:type="dxa"/>
              <w:start w:w="140" w:type="dxa"/>
              <w:bottom w:w="120" w:type="dxa"/>
              <w:end w:w="140" w:type="dxa"/>
            </w:tcMar>
            <w:vAlign w:val="center"/>
          </w:tcPr>
          <w:p>
            <w:pPr>
              <w:spacing w:after="0"/>
            </w:pPr>
            <w:r>
              <w:rPr>
                <w:rFonts w:ascii="Arial" w:hAnsi="Arial"/>
                <w:b w:val="0"/>
                <w:i w:val="0"/>
                <w:caps w:val="0"/>
                <w:color w:val="0B0B0B"/>
                <w:sz w:val="21"/>
              </w:rPr>
              <w:t>Réponses aux clients, erreurs de taille, défauts, échanges, retours et remboursements.</w:t>
            </w:r>
          </w:p>
        </w:tc>
      </w:tr>
      <w:tr>
        <w:tc>
          <w:tcPr>
            <w:tcW w:type="dxa" w:w="1872"/>
            <w:tcMar>
              <w:top w:w="120" w:type="dxa"/>
              <w:start w:w="140" w:type="dxa"/>
              <w:bottom w:w="120" w:type="dxa"/>
              <w:end w:w="140" w:type="dxa"/>
            </w:tcMar>
            <w:vAlign w:val="center"/>
            <w:shd w:fill="F4F1E9"/>
          </w:tcPr>
          <w:p>
            <w:r>
              <w:rPr>
                <w:rFonts w:ascii="Arial" w:hAnsi="Arial"/>
                <w:b/>
                <w:i w:val="0"/>
                <w:caps w:val="0"/>
                <w:color w:val="E10600"/>
                <w:sz w:val="19"/>
              </w:rPr>
              <w:t>CONTENU</w:t>
            </w:r>
          </w:p>
        </w:tc>
        <w:tc>
          <w:tcPr>
            <w:tcW w:type="dxa" w:w="6552"/>
            <w:tcMar>
              <w:top w:w="120" w:type="dxa"/>
              <w:start w:w="140" w:type="dxa"/>
              <w:bottom w:w="120" w:type="dxa"/>
              <w:end w:w="140" w:type="dxa"/>
            </w:tcMar>
            <w:vAlign w:val="center"/>
          </w:tcPr>
          <w:p>
            <w:pPr>
              <w:spacing w:after="0"/>
            </w:pPr>
            <w:r>
              <w:rPr>
                <w:rFonts w:ascii="Arial" w:hAnsi="Arial"/>
                <w:b w:val="0"/>
                <w:i w:val="0"/>
                <w:caps w:val="0"/>
                <w:color w:val="0B0B0B"/>
                <w:sz w:val="21"/>
              </w:rPr>
              <w:t>Photos, vidéos, textes, crédits, calendrier de publication et validation finale.</w:t>
            </w:r>
          </w:p>
        </w:tc>
      </w:tr>
    </w:tbl>
    <w:p>
      <w:pPr>
        <w:spacing w:after="0"/>
      </w:pPr>
    </w:p>
    <w:p>
      <w:pPr>
        <w:pStyle w:val="Heading2"/>
        <w:keepNext/>
      </w:pPr>
      <w:r>
        <w:t>Stock, défauts et invendus</w:t>
      </w:r>
    </w:p>
    <w:p>
      <w:pPr>
        <w:pStyle w:val="ListBullet"/>
        <w:spacing w:after="80" w:line="300" w:lineRule="auto"/>
        <w:ind w:left="540" w:hanging="271"/>
      </w:pPr>
      <w:r>
        <w:rPr>
          <w:rFonts w:ascii="Arial" w:hAnsi="Arial"/>
          <w:b w:val="0"/>
          <w:i w:val="0"/>
          <w:caps w:val="0"/>
          <w:color w:val="0B0B0B"/>
          <w:sz w:val="22"/>
        </w:rPr>
        <w:t>Le propriétaire du stock demeure identifié pendant toute la résidence.</w:t>
      </w:r>
    </w:p>
    <w:p>
      <w:pPr>
        <w:pStyle w:val="ListBullet"/>
        <w:spacing w:after="80" w:line="300" w:lineRule="auto"/>
        <w:ind w:left="540" w:hanging="271"/>
      </w:pPr>
      <w:r>
        <w:rPr>
          <w:rFonts w:ascii="Arial" w:hAnsi="Arial"/>
          <w:b w:val="0"/>
          <w:i w:val="0"/>
          <w:caps w:val="0"/>
          <w:color w:val="0B0B0B"/>
          <w:sz w:val="22"/>
        </w:rPr>
        <w:t>Les écarts d'inventaire, pertes et dommages sont documentés dès leur constatation.</w:t>
      </w:r>
    </w:p>
    <w:p>
      <w:pPr>
        <w:pStyle w:val="ListBullet"/>
        <w:spacing w:after="80" w:line="300" w:lineRule="auto"/>
        <w:ind w:left="540" w:hanging="271"/>
      </w:pPr>
      <w:r>
        <w:rPr>
          <w:rFonts w:ascii="Arial" w:hAnsi="Arial"/>
          <w:b w:val="0"/>
          <w:i w:val="0"/>
          <w:caps w:val="0"/>
          <w:color w:val="0B0B0B"/>
          <w:sz w:val="22"/>
        </w:rPr>
        <w:t>La responsabilité financière d'un produit défectueux revient à la partie responsable de sa production, sauf accord différent.</w:t>
      </w:r>
    </w:p>
    <w:p>
      <w:pPr>
        <w:pStyle w:val="ListBullet"/>
        <w:spacing w:after="80" w:line="300" w:lineRule="auto"/>
        <w:ind w:left="540" w:hanging="271"/>
      </w:pPr>
      <w:r>
        <w:rPr>
          <w:rFonts w:ascii="Arial" w:hAnsi="Arial"/>
          <w:b w:val="0"/>
          <w:i w:val="0"/>
          <w:caps w:val="0"/>
          <w:color w:val="0B0B0B"/>
          <w:sz w:val="22"/>
        </w:rPr>
        <w:t>À la fin de la résidence, les invendus sont retournés, maintenus en archive ou soldés selon une décision écrite.</w:t>
      </w:r>
    </w:p>
    <w:p>
      <w:pPr>
        <w:pStyle w:val="Heading2"/>
        <w:keepNext/>
      </w:pPr>
      <w:r>
        <w:t>Précommandes</w:t>
      </w:r>
    </w:p>
    <w:p>
      <w:pPr>
        <w:spacing w:after="120"/>
      </w:pPr>
      <w:r>
        <w:rPr>
          <w:rFonts w:ascii="Arial" w:hAnsi="Arial"/>
          <w:b w:val="0"/>
          <w:i w:val="0"/>
          <w:caps w:val="0"/>
          <w:color w:val="0B0B0B"/>
          <w:sz w:val="22"/>
        </w:rPr>
        <w:t>Lorsqu'une vente est proposée en précommande, la fiche produit indique clairement le délai estimé. Les deux parties s'engagent à signaler immédiatement tout retard susceptible d'affecter la promesse faite au client.</w:t>
      </w:r>
    </w:p>
    <w:p>
      <w:r>
        <w:br w:type="page"/>
      </w:r>
    </w:p>
    <w:p>
      <w:pPr>
        <w:spacing w:before="100" w:after="100"/>
      </w:pPr>
      <w:r>
        <w:rPr>
          <w:rFonts w:ascii="Arial" w:hAnsi="Arial"/>
          <w:b/>
          <w:i w:val="0"/>
          <w:caps/>
          <w:color w:val="E10600"/>
          <w:sz w:val="17"/>
        </w:rPr>
        <w:t>05 / Création, image et droits</w:t>
      </w:r>
    </w:p>
    <w:p>
      <w:pPr>
        <w:pStyle w:val="Heading1"/>
        <w:keepNext/>
      </w:pPr>
      <w:r>
        <w:t>Propriété intellectuelle</w:t>
      </w:r>
    </w:p>
    <w:p>
      <w:pPr>
        <w:spacing w:after="120"/>
      </w:pPr>
      <w:r>
        <w:rPr>
          <w:rFonts w:ascii="Arial" w:hAnsi="Arial"/>
          <w:b w:val="0"/>
          <w:i w:val="0"/>
          <w:caps w:val="0"/>
          <w:color w:val="0B0B0B"/>
          <w:sz w:val="22"/>
        </w:rPr>
        <w:t>Chaque partie reste propriétaire de ses éléments antérieurs : nom, logo, dessins, photographies, fichiers, concepts et savoir-faire. L'entrée dans le Lab ne transfère aucune propriété de manière automatique.</w:t>
      </w:r>
    </w:p>
    <w:p>
      <w:pPr>
        <w:pStyle w:val="Heading2"/>
        <w:keepNext/>
      </w:pPr>
      <w:r>
        <w:t>Créations personnelles</w:t>
      </w:r>
    </w:p>
    <w:p>
      <w:pPr>
        <w:spacing w:after="120"/>
      </w:pPr>
      <w:r>
        <w:rPr>
          <w:rFonts w:ascii="Arial" w:hAnsi="Arial"/>
          <w:b w:val="0"/>
          <w:i w:val="0"/>
          <w:caps w:val="0"/>
          <w:color w:val="0B0B0B"/>
          <w:sz w:val="22"/>
        </w:rPr>
        <w:t>Le résident garantit qu'il dispose des droits nécessaires pour commercialiser les créations confiées au Lab. Il autorise NewGbonhi, pendant la résidence et pour ses archives éditoriales, à reproduire les visuels nécessaires à la présentation et à la promotion du projet, dans les limites prévues par la fiche d'accord.</w:t>
      </w:r>
    </w:p>
    <w:p>
      <w:pPr>
        <w:pStyle w:val="Heading2"/>
        <w:keepNext/>
      </w:pPr>
      <w:r>
        <w:t>Créations collaboratives</w:t>
      </w:r>
    </w:p>
    <w:p>
      <w:pPr>
        <w:spacing w:after="120"/>
      </w:pPr>
      <w:r>
        <w:rPr>
          <w:rFonts w:ascii="Arial" w:hAnsi="Arial"/>
          <w:b w:val="0"/>
          <w:i w:val="0"/>
          <w:caps w:val="0"/>
          <w:color w:val="0B0B0B"/>
          <w:sz w:val="22"/>
        </w:rPr>
        <w:t>La fiche de collaboration indique les auteurs, les éléments apportés par chacun, les droits d'exploitation, le territoire, les supports, la durée, les possibilités de réédition et les règles applicables après la fin de la résidence.</w:t>
      </w:r>
    </w:p>
    <w:p>
      <w:pPr>
        <w:pStyle w:val="Heading2"/>
        <w:keepNext/>
      </w:pPr>
      <w:r>
        <w:t>Droit à l'image et crédits</w:t>
      </w:r>
    </w:p>
    <w:p>
      <w:pPr>
        <w:pStyle w:val="ListBullet"/>
        <w:spacing w:after="80" w:line="300" w:lineRule="auto"/>
        <w:ind w:left="540" w:hanging="271"/>
      </w:pPr>
      <w:r>
        <w:rPr>
          <w:rFonts w:ascii="Arial" w:hAnsi="Arial"/>
          <w:b w:val="0"/>
          <w:i w:val="0"/>
          <w:caps w:val="0"/>
          <w:color w:val="0B0B0B"/>
          <w:sz w:val="22"/>
        </w:rPr>
        <w:t>Les personnes photographiées ou filmées doivent avoir autorisé l'utilisation de leur image.</w:t>
      </w:r>
    </w:p>
    <w:p>
      <w:pPr>
        <w:pStyle w:val="ListBullet"/>
        <w:spacing w:after="80" w:line="300" w:lineRule="auto"/>
        <w:ind w:left="540" w:hanging="271"/>
      </w:pPr>
      <w:r>
        <w:rPr>
          <w:rFonts w:ascii="Arial" w:hAnsi="Arial"/>
          <w:b w:val="0"/>
          <w:i w:val="0"/>
          <w:caps w:val="0"/>
          <w:color w:val="0B0B0B"/>
          <w:sz w:val="22"/>
        </w:rPr>
        <w:t>Les crédits créatifs convenus sont conservés dans les publications lorsque le format le permet.</w:t>
      </w:r>
    </w:p>
    <w:p>
      <w:pPr>
        <w:pStyle w:val="ListBullet"/>
        <w:spacing w:after="80" w:line="300" w:lineRule="auto"/>
        <w:ind w:left="540" w:hanging="271"/>
      </w:pPr>
      <w:r>
        <w:rPr>
          <w:rFonts w:ascii="Arial" w:hAnsi="Arial"/>
          <w:b w:val="0"/>
          <w:i w:val="0"/>
          <w:caps w:val="0"/>
          <w:color w:val="0B0B0B"/>
          <w:sz w:val="22"/>
        </w:rPr>
        <w:t>Aucune modification importante d'une œuvre ou d'un visuel n'est publiée sans validation de son auteur.</w:t>
      </w:r>
    </w:p>
    <w:p>
      <w:pPr>
        <w:pStyle w:val="Heading2"/>
        <w:keepNext/>
      </w:pPr>
      <w:r>
        <w:t>Communication commune</w:t>
      </w:r>
    </w:p>
    <w:p>
      <w:pPr>
        <w:spacing w:after="120"/>
      </w:pPr>
      <w:r>
        <w:rPr>
          <w:rFonts w:ascii="Arial" w:hAnsi="Arial"/>
          <w:b w:val="0"/>
          <w:i w:val="0"/>
          <w:caps w:val="0"/>
          <w:color w:val="0B0B0B"/>
          <w:sz w:val="22"/>
        </w:rPr>
        <w:t>Le créateur et NewGbonhi s'engagent à soutenir la sortie selon un calendrier réaliste. Le nombre minimal de publications, les contenus à livrer, les dates et les validations sont définis avant le lancement. Les performances commerciales ne sont jamais garanties.</w:t>
      </w:r>
    </w:p>
    <w:p>
      <w:r>
        <w:br w:type="page"/>
      </w:r>
    </w:p>
    <w:p>
      <w:pPr>
        <w:spacing w:before="100" w:after="100"/>
      </w:pPr>
      <w:r>
        <w:rPr>
          <w:rFonts w:ascii="Arial" w:hAnsi="Arial"/>
          <w:b/>
          <w:i w:val="0"/>
          <w:caps/>
          <w:color w:val="E10600"/>
          <w:sz w:val="17"/>
        </w:rPr>
        <w:t>06 / Vie de la résidence</w:t>
      </w:r>
    </w:p>
    <w:p>
      <w:pPr>
        <w:pStyle w:val="Heading1"/>
        <w:keepNext/>
      </w:pPr>
      <w:r>
        <w:t>Durée, comportement et sortie</w:t>
      </w:r>
    </w:p>
    <w:p>
      <w:pPr>
        <w:pStyle w:val="Heading2"/>
        <w:keepNext/>
      </w:pPr>
      <w:r>
        <w:t>Durée pilote recommandée</w:t>
      </w:r>
    </w:p>
    <w:p>
      <w:pPr>
        <w:spacing w:after="120"/>
      </w:pPr>
      <w:r>
        <w:rPr>
          <w:rFonts w:ascii="Arial" w:hAnsi="Arial"/>
          <w:b w:val="0"/>
          <w:i w:val="0"/>
          <w:caps w:val="0"/>
          <w:color w:val="0B0B0B"/>
          <w:sz w:val="22"/>
        </w:rPr>
        <w:t>Pour le lancement du Lab, chaque résidence est proposée pour une période pilote de trois mois. Elle peut être renouvelée d'un commun accord après évaluation des ventes, de la qualité opérationnelle et de la collaboration créative.</w:t>
      </w:r>
    </w:p>
    <w:p>
      <w:pPr>
        <w:pStyle w:val="Heading2"/>
        <w:keepNext/>
      </w:pPr>
      <w:r>
        <w:t>Engagement de conduite</w:t>
      </w:r>
    </w:p>
    <w:p>
      <w:pPr>
        <w:pStyle w:val="ListBullet"/>
        <w:spacing w:after="80" w:line="300" w:lineRule="auto"/>
        <w:ind w:left="540" w:hanging="271"/>
      </w:pPr>
      <w:r>
        <w:rPr>
          <w:rFonts w:ascii="Arial" w:hAnsi="Arial"/>
          <w:b w:val="0"/>
          <w:i w:val="0"/>
          <w:caps w:val="0"/>
          <w:color w:val="0B0B0B"/>
          <w:sz w:val="22"/>
        </w:rPr>
        <w:t>Respecter les personnes, les communautés et les autres résidents.</w:t>
      </w:r>
    </w:p>
    <w:p>
      <w:pPr>
        <w:pStyle w:val="ListBullet"/>
        <w:spacing w:after="80" w:line="300" w:lineRule="auto"/>
        <w:ind w:left="540" w:hanging="271"/>
      </w:pPr>
      <w:r>
        <w:rPr>
          <w:rFonts w:ascii="Arial" w:hAnsi="Arial"/>
          <w:b w:val="0"/>
          <w:i w:val="0"/>
          <w:caps w:val="0"/>
          <w:color w:val="0B0B0B"/>
          <w:sz w:val="22"/>
        </w:rPr>
        <w:t>Ne pas présenter comme original un travail contrefait, plagié ou utilisé sans autorisation.</w:t>
      </w:r>
    </w:p>
    <w:p>
      <w:pPr>
        <w:pStyle w:val="ListBullet"/>
        <w:spacing w:after="80" w:line="300" w:lineRule="auto"/>
        <w:ind w:left="540" w:hanging="271"/>
      </w:pPr>
      <w:r>
        <w:rPr>
          <w:rFonts w:ascii="Arial" w:hAnsi="Arial"/>
          <w:b w:val="0"/>
          <w:i w:val="0"/>
          <w:caps w:val="0"/>
          <w:color w:val="0B0B0B"/>
          <w:sz w:val="22"/>
        </w:rPr>
        <w:t>Communiquer rapidement en cas de retard, d'erreur, de conflit ou de difficulté de production.</w:t>
      </w:r>
    </w:p>
    <w:p>
      <w:pPr>
        <w:pStyle w:val="ListBullet"/>
        <w:spacing w:after="80" w:line="300" w:lineRule="auto"/>
        <w:ind w:left="540" w:hanging="271"/>
      </w:pPr>
      <w:r>
        <w:rPr>
          <w:rFonts w:ascii="Arial" w:hAnsi="Arial"/>
          <w:b w:val="0"/>
          <w:i w:val="0"/>
          <w:caps w:val="0"/>
          <w:color w:val="0B0B0B"/>
          <w:sz w:val="22"/>
        </w:rPr>
        <w:t>Ne pas utiliser le nom ou le logo NewGbonhi en dehors des usages autorisés.</w:t>
      </w:r>
    </w:p>
    <w:p>
      <w:pPr>
        <w:pStyle w:val="ListBullet"/>
        <w:spacing w:after="80" w:line="300" w:lineRule="auto"/>
        <w:ind w:left="540" w:hanging="271"/>
      </w:pPr>
      <w:r>
        <w:rPr>
          <w:rFonts w:ascii="Arial" w:hAnsi="Arial"/>
          <w:b w:val="0"/>
          <w:i w:val="0"/>
          <w:caps w:val="0"/>
          <w:color w:val="0B0B0B"/>
          <w:sz w:val="22"/>
        </w:rPr>
        <w:t>Préserver les informations commerciales ou créatives identifiées comme confidentielles.</w:t>
      </w:r>
    </w:p>
    <w:p>
      <w:pPr>
        <w:pStyle w:val="Heading2"/>
        <w:keepNext/>
      </w:pPr>
      <w:r>
        <w:t>Fin de résidence</w:t>
      </w:r>
    </w:p>
    <w:p>
      <w:pPr>
        <w:spacing w:after="120"/>
      </w:pPr>
      <w:r>
        <w:rPr>
          <w:rFonts w:ascii="Arial" w:hAnsi="Arial"/>
          <w:b w:val="0"/>
          <w:i w:val="0"/>
          <w:caps w:val="0"/>
          <w:color w:val="0B0B0B"/>
          <w:sz w:val="22"/>
        </w:rPr>
        <w:t>Chaque partie peut demander la fin de la résidence selon le préavis indiqué dans la fiche d'accord. Les commandes déjà encaissées doivent être honorées ou remboursées. Les sommes dues, stocks, fichiers, accès et contenus restant en ligne sont régularisés dans un bilan de sortie.</w:t>
      </w:r>
    </w:p>
    <w:p>
      <w:pPr>
        <w:spacing w:after="120"/>
      </w:pPr>
      <w:r>
        <w:rPr>
          <w:rFonts w:ascii="Arial" w:hAnsi="Arial"/>
          <w:b w:val="0"/>
          <w:i w:val="0"/>
          <w:caps w:val="0"/>
          <w:color w:val="0B0B0B"/>
          <w:sz w:val="22"/>
        </w:rPr>
        <w:t>Une interruption immédiate peut être décidée en cas de contrefaçon, fraude, atteinte grave à l'image, comportement dangereux ou manquement non corrigé malgré une demande écrite.</w:t>
      </w:r>
    </w:p>
    <w:p>
      <w:pPr>
        <w:pStyle w:val="Heading2"/>
        <w:keepNext/>
      </w:pPr>
      <w:r>
        <w:t>Gestion des désaccords</w:t>
      </w:r>
    </w:p>
    <w:p>
      <w:pPr>
        <w:spacing w:after="120"/>
      </w:pPr>
      <w:r>
        <w:rPr>
          <w:rFonts w:ascii="Arial" w:hAnsi="Arial"/>
          <w:b w:val="0"/>
          <w:i w:val="0"/>
          <w:caps w:val="0"/>
          <w:color w:val="0B0B0B"/>
          <w:sz w:val="22"/>
        </w:rPr>
        <w:t>Les parties commencent par un échange documenté visant une solution amiable. Si aucun accord n'est trouvé, elles se réfèrent à la fiche d'accord et aux règles de droit applicables précisées dans la version contractuelle définitive.</w:t>
      </w:r>
    </w:p>
    <w:p>
      <w:r>
        <w:br w:type="page"/>
      </w:r>
    </w:p>
    <w:p>
      <w:pPr>
        <w:spacing w:before="100" w:after="100"/>
      </w:pPr>
      <w:r>
        <w:rPr>
          <w:rFonts w:ascii="Arial" w:hAnsi="Arial"/>
          <w:b/>
          <w:i w:val="0"/>
          <w:caps/>
          <w:color w:val="E10600"/>
          <w:sz w:val="17"/>
        </w:rPr>
        <w:t>07 / Pilote Lab 001</w:t>
      </w:r>
    </w:p>
    <w:p>
      <w:pPr>
        <w:pStyle w:val="Heading1"/>
        <w:keepNext/>
      </w:pPr>
      <w:r>
        <w:t>Cadre de lancement recommandé</w:t>
      </w:r>
    </w:p>
    <w:p>
      <w:pPr>
        <w:spacing w:after="120"/>
      </w:pPr>
      <w:r>
        <w:rPr>
          <w:rFonts w:ascii="Arial" w:hAnsi="Arial"/>
          <w:b w:val="0"/>
          <w:i w:val="0"/>
          <w:caps w:val="0"/>
          <w:color w:val="0B0B0B"/>
          <w:sz w:val="22"/>
        </w:rPr>
        <w:t>Afin de tester le modèle sans diluer l'identité du Lab, NewGbonhi lance une première cohorte volontairement limitée.</w:t>
      </w:r>
    </w:p>
    <w:tbl>
      <w:tblPr>
        <w:tblW w:type="dxa" w:w="8424"/>
        <w:tblLayout w:type="fixed"/>
        <w:tblLook w:firstColumn="1" w:firstRow="1" w:lastColumn="0" w:lastRow="0" w:noHBand="0" w:noVBand="1" w:val="04A0"/>
        <w:jc w:val="center"/>
        <w:tblInd w:w="0" w:type="dxa"/>
        <w:tblBorders>
          <w:top w:val="single" w:sz="6" w:space="0" w:color="E6E3DC"/>
          <w:left w:val="single" w:sz="6" w:space="0" w:color="E6E3DC"/>
          <w:bottom w:val="single" w:sz="6" w:space="0" w:color="E6E3DC"/>
          <w:right w:val="single" w:sz="6" w:space="0" w:color="E6E3DC"/>
          <w:insideH w:val="single" w:sz="6" w:space="0" w:color="E6E3DC"/>
          <w:insideV w:val="single" w:sz="6" w:space="0" w:color="E6E3DC"/>
        </w:tblBorders>
      </w:tblPr>
      <w:tblGrid>
        <w:gridCol w:w="1872"/>
        <w:gridCol w:w="6552"/>
      </w:tblGrid>
      <w:tr>
        <w:tc>
          <w:tcPr>
            <w:tcW w:type="dxa" w:w="1872"/>
            <w:tcMar>
              <w:top w:w="120" w:type="dxa"/>
              <w:start w:w="140" w:type="dxa"/>
              <w:bottom w:w="120" w:type="dxa"/>
              <w:end w:w="140" w:type="dxa"/>
            </w:tcMar>
            <w:vAlign w:val="center"/>
            <w:shd w:fill="F4F1E9"/>
          </w:tcPr>
          <w:p>
            <w:r>
              <w:rPr>
                <w:rFonts w:ascii="Arial" w:hAnsi="Arial"/>
                <w:b/>
                <w:i w:val="0"/>
                <w:caps w:val="0"/>
                <w:color w:val="E10600"/>
                <w:sz w:val="19"/>
              </w:rPr>
              <w:t>RÉSIDENTS</w:t>
            </w:r>
          </w:p>
        </w:tc>
        <w:tc>
          <w:tcPr>
            <w:tcW w:type="dxa" w:w="6552"/>
            <w:tcMar>
              <w:top w:w="120" w:type="dxa"/>
              <w:start w:w="140" w:type="dxa"/>
              <w:bottom w:w="120" w:type="dxa"/>
              <w:end w:w="140" w:type="dxa"/>
            </w:tcMar>
            <w:vAlign w:val="center"/>
          </w:tcPr>
          <w:p>
            <w:pPr>
              <w:spacing w:after="0"/>
            </w:pPr>
            <w:r>
              <w:rPr>
                <w:rFonts w:ascii="Arial" w:hAnsi="Arial"/>
                <w:b w:val="0"/>
                <w:i w:val="0"/>
                <w:caps w:val="0"/>
                <w:color w:val="0B0B0B"/>
                <w:sz w:val="21"/>
              </w:rPr>
              <w:t>Jusqu'à 3 créateurs pour la première cohorte.</w:t>
            </w:r>
          </w:p>
        </w:tc>
      </w:tr>
      <w:tr>
        <w:tc>
          <w:tcPr>
            <w:tcW w:type="dxa" w:w="1872"/>
            <w:tcMar>
              <w:top w:w="120" w:type="dxa"/>
              <w:start w:w="140" w:type="dxa"/>
              <w:bottom w:w="120" w:type="dxa"/>
              <w:end w:w="140" w:type="dxa"/>
            </w:tcMar>
            <w:vAlign w:val="center"/>
            <w:shd w:fill="F4F1E9"/>
          </w:tcPr>
          <w:p>
            <w:r>
              <w:rPr>
                <w:rFonts w:ascii="Arial" w:hAnsi="Arial"/>
                <w:b/>
                <w:i w:val="0"/>
                <w:caps w:val="0"/>
                <w:color w:val="E10600"/>
                <w:sz w:val="19"/>
              </w:rPr>
              <w:t>DURÉE</w:t>
            </w:r>
          </w:p>
        </w:tc>
        <w:tc>
          <w:tcPr>
            <w:tcW w:type="dxa" w:w="6552"/>
            <w:tcMar>
              <w:top w:w="120" w:type="dxa"/>
              <w:start w:w="140" w:type="dxa"/>
              <w:bottom w:w="120" w:type="dxa"/>
              <w:end w:w="140" w:type="dxa"/>
            </w:tcMar>
            <w:vAlign w:val="center"/>
          </w:tcPr>
          <w:p>
            <w:pPr>
              <w:spacing w:after="0"/>
            </w:pPr>
            <w:r>
              <w:rPr>
                <w:rFonts w:ascii="Arial" w:hAnsi="Arial"/>
                <w:b w:val="0"/>
                <w:i w:val="0"/>
                <w:caps w:val="0"/>
                <w:color w:val="0B0B0B"/>
                <w:sz w:val="21"/>
              </w:rPr>
              <w:t>3 mois par résidence, avec un point de suivi à mi-parcours.</w:t>
            </w:r>
          </w:p>
        </w:tc>
      </w:tr>
      <w:tr>
        <w:tc>
          <w:tcPr>
            <w:tcW w:type="dxa" w:w="1872"/>
            <w:tcMar>
              <w:top w:w="120" w:type="dxa"/>
              <w:start w:w="140" w:type="dxa"/>
              <w:bottom w:w="120" w:type="dxa"/>
              <w:end w:w="140" w:type="dxa"/>
            </w:tcMar>
            <w:vAlign w:val="center"/>
            <w:shd w:fill="F4F1E9"/>
          </w:tcPr>
          <w:p>
            <w:r>
              <w:rPr>
                <w:rFonts w:ascii="Arial" w:hAnsi="Arial"/>
                <w:b/>
                <w:i w:val="0"/>
                <w:caps w:val="0"/>
                <w:color w:val="E10600"/>
                <w:sz w:val="19"/>
              </w:rPr>
              <w:t>ENTRÉE</w:t>
            </w:r>
          </w:p>
        </w:tc>
        <w:tc>
          <w:tcPr>
            <w:tcW w:type="dxa" w:w="6552"/>
            <w:tcMar>
              <w:top w:w="120" w:type="dxa"/>
              <w:start w:w="140" w:type="dxa"/>
              <w:bottom w:w="120" w:type="dxa"/>
              <w:end w:w="140" w:type="dxa"/>
            </w:tcMar>
            <w:vAlign w:val="center"/>
          </w:tcPr>
          <w:p>
            <w:pPr>
              <w:spacing w:after="0"/>
            </w:pPr>
            <w:r>
              <w:rPr>
                <w:rFonts w:ascii="Arial" w:hAnsi="Arial"/>
                <w:b w:val="0"/>
                <w:i w:val="0"/>
                <w:caps w:val="0"/>
                <w:color w:val="0B0B0B"/>
                <w:sz w:val="21"/>
              </w:rPr>
              <w:t>1 collaboration identifiable NewGbonhi × Créateur.</w:t>
            </w:r>
          </w:p>
        </w:tc>
      </w:tr>
      <w:tr>
        <w:tc>
          <w:tcPr>
            <w:tcW w:type="dxa" w:w="1872"/>
            <w:tcMar>
              <w:top w:w="120" w:type="dxa"/>
              <w:start w:w="140" w:type="dxa"/>
              <w:bottom w:w="120" w:type="dxa"/>
              <w:end w:w="140" w:type="dxa"/>
            </w:tcMar>
            <w:vAlign w:val="center"/>
            <w:shd w:fill="F4F1E9"/>
          </w:tcPr>
          <w:p>
            <w:r>
              <w:rPr>
                <w:rFonts w:ascii="Arial" w:hAnsi="Arial"/>
                <w:b/>
                <w:i w:val="0"/>
                <w:caps w:val="0"/>
                <w:color w:val="E10600"/>
                <w:sz w:val="19"/>
              </w:rPr>
              <w:t>CATALOGUE</w:t>
            </w:r>
          </w:p>
        </w:tc>
        <w:tc>
          <w:tcPr>
            <w:tcW w:type="dxa" w:w="6552"/>
            <w:tcMar>
              <w:top w:w="120" w:type="dxa"/>
              <w:start w:w="140" w:type="dxa"/>
              <w:bottom w:w="120" w:type="dxa"/>
              <w:end w:w="140" w:type="dxa"/>
            </w:tcMar>
            <w:vAlign w:val="center"/>
          </w:tcPr>
          <w:p>
            <w:pPr>
              <w:spacing w:after="0"/>
            </w:pPr>
            <w:r>
              <w:rPr>
                <w:rFonts w:ascii="Arial" w:hAnsi="Arial"/>
                <w:b w:val="0"/>
                <w:i w:val="0"/>
                <w:caps w:val="0"/>
                <w:color w:val="0B0B0B"/>
                <w:sz w:val="21"/>
              </w:rPr>
              <w:t>Une sélection courte de créations personnelles validées par le Lab.</w:t>
            </w:r>
          </w:p>
        </w:tc>
      </w:tr>
      <w:tr>
        <w:tc>
          <w:tcPr>
            <w:tcW w:type="dxa" w:w="1872"/>
            <w:tcMar>
              <w:top w:w="120" w:type="dxa"/>
              <w:start w:w="140" w:type="dxa"/>
              <w:bottom w:w="120" w:type="dxa"/>
              <w:end w:w="140" w:type="dxa"/>
            </w:tcMar>
            <w:vAlign w:val="center"/>
            <w:shd w:fill="F4F1E9"/>
          </w:tcPr>
          <w:p>
            <w:r>
              <w:rPr>
                <w:rFonts w:ascii="Arial" w:hAnsi="Arial"/>
                <w:b/>
                <w:i w:val="0"/>
                <w:caps w:val="0"/>
                <w:color w:val="E10600"/>
                <w:sz w:val="19"/>
              </w:rPr>
              <w:t>REVUE</w:t>
            </w:r>
          </w:p>
        </w:tc>
        <w:tc>
          <w:tcPr>
            <w:tcW w:type="dxa" w:w="6552"/>
            <w:tcMar>
              <w:top w:w="120" w:type="dxa"/>
              <w:start w:w="140" w:type="dxa"/>
              <w:bottom w:w="120" w:type="dxa"/>
              <w:end w:w="140" w:type="dxa"/>
            </w:tcMar>
            <w:vAlign w:val="center"/>
          </w:tcPr>
          <w:p>
            <w:pPr>
              <w:spacing w:after="0"/>
            </w:pPr>
            <w:r>
              <w:rPr>
                <w:rFonts w:ascii="Arial" w:hAnsi="Arial"/>
                <w:b w:val="0"/>
                <w:i w:val="0"/>
                <w:caps w:val="0"/>
                <w:color w:val="0B0B0B"/>
                <w:sz w:val="21"/>
              </w:rPr>
              <w:t>Bilan des ventes, marges, délais, retours clients, visibilité et qualité de collaboration.</w:t>
            </w:r>
          </w:p>
        </w:tc>
      </w:tr>
    </w:tbl>
    <w:p>
      <w:pPr>
        <w:spacing w:after="0"/>
      </w:pPr>
    </w:p>
    <w:p>
      <w:pPr>
        <w:pStyle w:val="Heading2"/>
        <w:keepNext/>
      </w:pPr>
      <w:r>
        <w:t>Indicateurs de suivi</w:t>
      </w:r>
    </w:p>
    <w:p>
      <w:pPr>
        <w:pStyle w:val="ListBullet"/>
        <w:spacing w:after="80" w:line="300" w:lineRule="auto"/>
        <w:ind w:left="540" w:hanging="271"/>
      </w:pPr>
      <w:r>
        <w:rPr>
          <w:rFonts w:ascii="Arial" w:hAnsi="Arial"/>
          <w:b w:val="0"/>
          <w:i w:val="0"/>
          <w:caps w:val="0"/>
          <w:color w:val="0B0B0B"/>
          <w:sz w:val="22"/>
        </w:rPr>
        <w:t>Chiffre d'affaires et marge nette par produit.</w:t>
      </w:r>
    </w:p>
    <w:p>
      <w:pPr>
        <w:pStyle w:val="ListBullet"/>
        <w:spacing w:after="80" w:line="300" w:lineRule="auto"/>
        <w:ind w:left="540" w:hanging="271"/>
      </w:pPr>
      <w:r>
        <w:rPr>
          <w:rFonts w:ascii="Arial" w:hAnsi="Arial"/>
          <w:b w:val="0"/>
          <w:i w:val="0"/>
          <w:caps w:val="0"/>
          <w:color w:val="0B0B0B"/>
          <w:sz w:val="22"/>
        </w:rPr>
        <w:t>Taux de conversion, panier moyen et produits les plus consultés.</w:t>
      </w:r>
    </w:p>
    <w:p>
      <w:pPr>
        <w:pStyle w:val="ListBullet"/>
        <w:spacing w:after="80" w:line="300" w:lineRule="auto"/>
        <w:ind w:left="540" w:hanging="271"/>
      </w:pPr>
      <w:r>
        <w:rPr>
          <w:rFonts w:ascii="Arial" w:hAnsi="Arial"/>
          <w:b w:val="0"/>
          <w:i w:val="0"/>
          <w:caps w:val="0"/>
          <w:color w:val="0B0B0B"/>
          <w:sz w:val="22"/>
        </w:rPr>
        <w:t>Délais de préparation et de livraison.</w:t>
      </w:r>
    </w:p>
    <w:p>
      <w:pPr>
        <w:pStyle w:val="ListBullet"/>
        <w:spacing w:after="80" w:line="300" w:lineRule="auto"/>
        <w:ind w:left="540" w:hanging="271"/>
      </w:pPr>
      <w:r>
        <w:rPr>
          <w:rFonts w:ascii="Arial" w:hAnsi="Arial"/>
          <w:b w:val="0"/>
          <w:i w:val="0"/>
          <w:caps w:val="0"/>
          <w:color w:val="0B0B0B"/>
          <w:sz w:val="22"/>
        </w:rPr>
        <w:t>Taux de retour, motifs de remboursement et défauts qualité.</w:t>
      </w:r>
    </w:p>
    <w:p>
      <w:pPr>
        <w:pStyle w:val="ListBullet"/>
        <w:spacing w:after="80" w:line="300" w:lineRule="auto"/>
        <w:ind w:left="540" w:hanging="271"/>
      </w:pPr>
      <w:r>
        <w:rPr>
          <w:rFonts w:ascii="Arial" w:hAnsi="Arial"/>
          <w:b w:val="0"/>
          <w:i w:val="0"/>
          <w:caps w:val="0"/>
          <w:color w:val="0B0B0B"/>
          <w:sz w:val="22"/>
        </w:rPr>
        <w:t>Portée éditoriale, nouveaux abonnés et engagement sur les contenus.</w:t>
      </w:r>
    </w:p>
    <w:p>
      <w:pPr>
        <w:pStyle w:val="ListBullet"/>
        <w:spacing w:after="80" w:line="300" w:lineRule="auto"/>
        <w:ind w:left="540" w:hanging="271"/>
      </w:pPr>
      <w:r>
        <w:rPr>
          <w:rFonts w:ascii="Arial" w:hAnsi="Arial"/>
          <w:b w:val="0"/>
          <w:i w:val="0"/>
          <w:caps w:val="0"/>
          <w:color w:val="0B0B0B"/>
          <w:sz w:val="22"/>
        </w:rPr>
        <w:t>Satisfaction du résident et charge opérationnelle pour NewGbonhi.</w:t>
      </w:r>
    </w:p>
    <w:tbl>
      <w:tblPr>
        <w:tblW w:type="dxa" w:w="9360"/>
        <w:jc w:val="center"/>
        <w:tblLayout w:type="fixed"/>
        <w:tblLook w:firstColumn="1" w:firstRow="1" w:lastColumn="0" w:lastRow="0" w:noHBand="0" w:noVBand="1" w:val="04A0"/>
        <w:tblInd w:w="120" w:type="dxa"/>
        <w:tblBorders>
          <w:top w:val="single" w:sz="0" w:space="0" w:color="0B0B0B"/>
          <w:left w:val="single" w:sz="0" w:space="0" w:color="0B0B0B"/>
          <w:bottom w:val="single" w:sz="0" w:space="0" w:color="0B0B0B"/>
          <w:right w:val="single" w:sz="0" w:space="0" w:color="0B0B0B"/>
          <w:insideH w:val="single" w:sz="0" w:space="0" w:color="0B0B0B"/>
          <w:insideV w:val="single" w:sz="0" w:space="0" w:color="0B0B0B"/>
        </w:tblBorders>
      </w:tblPr>
      <w:tblGrid>
        <w:gridCol w:w="9360"/>
      </w:tblGrid>
      <w:tr>
        <w:tc>
          <w:tcPr>
            <w:tcW w:type="dxa" w:w="9360"/>
            <w:tcMar>
              <w:top w:w="120" w:type="dxa"/>
              <w:start w:w="140" w:type="dxa"/>
              <w:bottom w:w="120" w:type="dxa"/>
              <w:end w:w="140" w:type="dxa"/>
            </w:tcMar>
            <w:vAlign w:val="center"/>
            <w:shd w:fill="0B0B0B"/>
          </w:tcPr>
          <w:p>
            <w:pPr>
              <w:spacing w:after="100"/>
            </w:pPr>
            <w:r>
              <w:rPr>
                <w:rFonts w:ascii="Arial" w:hAnsi="Arial"/>
                <w:b/>
                <w:i w:val="0"/>
                <w:caps w:val="0"/>
                <w:color w:val="E10600"/>
                <w:sz w:val="18"/>
              </w:rPr>
              <w:t>DÉCISION APRÈS PILOTE</w:t>
            </w:r>
          </w:p>
          <w:p>
            <w:pPr>
              <w:spacing w:after="0" w:line="288" w:lineRule="auto"/>
            </w:pPr>
            <w:r>
              <w:rPr>
                <w:rFonts w:ascii="Arial" w:hAnsi="Arial"/>
                <w:b/>
                <w:i w:val="0"/>
                <w:caps w:val="0"/>
                <w:color w:val="FFFFFF"/>
                <w:sz w:val="22"/>
              </w:rPr>
              <w:t>Conserver, ajuster ou abandonner chaque règle à partir de données réelles. Le taux progressif selon l'ancienneté pourra être introduit seulement lorsque le fonctionnement de base sera stable.</w:t>
            </w:r>
          </w:p>
        </w:tc>
      </w:tr>
    </w:tbl>
    <w:p>
      <w:pPr>
        <w:spacing w:after="0"/>
      </w:pPr>
    </w:p>
    <w:p>
      <w:r>
        <w:br w:type="page"/>
      </w:r>
    </w:p>
    <w:p>
      <w:pPr>
        <w:spacing w:before="100" w:after="100"/>
      </w:pPr>
      <w:r>
        <w:rPr>
          <w:rFonts w:ascii="Arial" w:hAnsi="Arial"/>
          <w:b/>
          <w:i w:val="0"/>
          <w:caps/>
          <w:color w:val="E10600"/>
          <w:sz w:val="17"/>
        </w:rPr>
        <w:t>08 / Fiche d'accord à compléter</w:t>
      </w:r>
    </w:p>
    <w:p>
      <w:pPr>
        <w:pStyle w:val="Heading1"/>
        <w:keepNext/>
      </w:pPr>
      <w:r>
        <w:t>Paramètres de la résidence</w:t>
      </w:r>
    </w:p>
    <w:p>
      <w:pPr>
        <w:spacing w:after="120"/>
      </w:pPr>
      <w:r>
        <w:rPr>
          <w:rFonts w:ascii="Arial" w:hAnsi="Arial"/>
          <w:b w:val="0"/>
          <w:i w:val="0"/>
          <w:caps w:val="0"/>
          <w:color w:val="0B0B0B"/>
          <w:sz w:val="22"/>
        </w:rPr>
        <w:t>Cette page est complétée et validée avant la mise en ligne. Elle fait partie intégrante du pacte applicable au résident.</w:t>
      </w:r>
    </w:p>
    <w:tbl>
      <w:tblPr>
        <w:tblW w:type="dxa" w:w="8424"/>
        <w:tblLayout w:type="fixed"/>
        <w:tblLook w:firstColumn="1" w:firstRow="1" w:lastColumn="0" w:lastRow="0" w:noHBand="0" w:noVBand="1" w:val="04A0"/>
        <w:jc w:val="center"/>
        <w:tblInd w:w="0" w:type="dxa"/>
        <w:tblBorders>
          <w:top w:val="single" w:sz="6" w:space="0" w:color="E6E3DC"/>
          <w:left w:val="single" w:sz="6" w:space="0" w:color="E6E3DC"/>
          <w:bottom w:val="single" w:sz="6" w:space="0" w:color="E6E3DC"/>
          <w:right w:val="single" w:sz="6" w:space="0" w:color="E6E3DC"/>
          <w:insideH w:val="single" w:sz="6" w:space="0" w:color="E6E3DC"/>
          <w:insideV w:val="single" w:sz="6" w:space="0" w:color="E6E3DC"/>
        </w:tblBorders>
      </w:tblPr>
      <w:tblGrid>
        <w:gridCol w:w="1872"/>
        <w:gridCol w:w="6552"/>
      </w:tblGrid>
      <w:tr>
        <w:tc>
          <w:tcPr>
            <w:tcW w:type="dxa" w:w="1872"/>
            <w:tcMar>
              <w:top w:w="120" w:type="dxa"/>
              <w:start w:w="140" w:type="dxa"/>
              <w:bottom w:w="120" w:type="dxa"/>
              <w:end w:w="140" w:type="dxa"/>
            </w:tcMar>
            <w:vAlign w:val="center"/>
            <w:shd w:fill="F4F1E9"/>
          </w:tcPr>
          <w:p>
            <w:r>
              <w:rPr>
                <w:rFonts w:ascii="Arial" w:hAnsi="Arial"/>
                <w:b/>
                <w:i w:val="0"/>
                <w:caps w:val="0"/>
                <w:color w:val="E10600"/>
                <w:sz w:val="19"/>
              </w:rPr>
              <w:t>RÉSIDENT</w:t>
            </w:r>
          </w:p>
        </w:tc>
        <w:tc>
          <w:tcPr>
            <w:tcW w:type="dxa" w:w="6552"/>
            <w:tcMar>
              <w:top w:w="120" w:type="dxa"/>
              <w:start w:w="140" w:type="dxa"/>
              <w:bottom w:w="120" w:type="dxa"/>
              <w:end w:w="140" w:type="dxa"/>
            </w:tcMar>
            <w:vAlign w:val="center"/>
          </w:tcPr>
          <w:p>
            <w:pPr>
              <w:spacing w:after="0"/>
            </w:pPr>
            <w:r>
              <w:rPr>
                <w:rFonts w:ascii="Arial" w:hAnsi="Arial"/>
                <w:b w:val="0"/>
                <w:i w:val="0"/>
                <w:caps w:val="0"/>
                <w:color w:val="0B0B0B"/>
                <w:sz w:val="21"/>
              </w:rPr>
              <w:t>Nom / structure : ______________________________________________</w:t>
            </w:r>
          </w:p>
        </w:tc>
      </w:tr>
      <w:tr>
        <w:tc>
          <w:tcPr>
            <w:tcW w:type="dxa" w:w="1872"/>
            <w:tcMar>
              <w:top w:w="120" w:type="dxa"/>
              <w:start w:w="140" w:type="dxa"/>
              <w:bottom w:w="120" w:type="dxa"/>
              <w:end w:w="140" w:type="dxa"/>
            </w:tcMar>
            <w:vAlign w:val="center"/>
            <w:shd w:fill="F4F1E9"/>
          </w:tcPr>
          <w:p>
            <w:r>
              <w:rPr>
                <w:rFonts w:ascii="Arial" w:hAnsi="Arial"/>
                <w:b/>
                <w:i w:val="0"/>
                <w:caps w:val="0"/>
                <w:color w:val="E10600"/>
                <w:sz w:val="19"/>
              </w:rPr>
              <w:t>PROJET</w:t>
            </w:r>
          </w:p>
        </w:tc>
        <w:tc>
          <w:tcPr>
            <w:tcW w:type="dxa" w:w="6552"/>
            <w:tcMar>
              <w:top w:w="120" w:type="dxa"/>
              <w:start w:w="140" w:type="dxa"/>
              <w:bottom w:w="120" w:type="dxa"/>
              <w:end w:w="140" w:type="dxa"/>
            </w:tcMar>
            <w:vAlign w:val="center"/>
          </w:tcPr>
          <w:p>
            <w:pPr>
              <w:spacing w:after="0"/>
            </w:pPr>
            <w:r>
              <w:rPr>
                <w:rFonts w:ascii="Arial" w:hAnsi="Arial"/>
                <w:b w:val="0"/>
                <w:i w:val="0"/>
                <w:caps w:val="0"/>
                <w:color w:val="0B0B0B"/>
                <w:sz w:val="21"/>
              </w:rPr>
              <w:t>Nom du projet : _________________________________________________</w:t>
            </w:r>
          </w:p>
        </w:tc>
      </w:tr>
      <w:tr>
        <w:tc>
          <w:tcPr>
            <w:tcW w:type="dxa" w:w="1872"/>
            <w:tcMar>
              <w:top w:w="120" w:type="dxa"/>
              <w:start w:w="140" w:type="dxa"/>
              <w:bottom w:w="120" w:type="dxa"/>
              <w:end w:w="140" w:type="dxa"/>
            </w:tcMar>
            <w:vAlign w:val="center"/>
            <w:shd w:fill="F4F1E9"/>
          </w:tcPr>
          <w:p>
            <w:r>
              <w:rPr>
                <w:rFonts w:ascii="Arial" w:hAnsi="Arial"/>
                <w:b/>
                <w:i w:val="0"/>
                <w:caps w:val="0"/>
                <w:color w:val="E10600"/>
                <w:sz w:val="19"/>
              </w:rPr>
              <w:t>PÉRIODE</w:t>
            </w:r>
          </w:p>
        </w:tc>
        <w:tc>
          <w:tcPr>
            <w:tcW w:type="dxa" w:w="6552"/>
            <w:tcMar>
              <w:top w:w="120" w:type="dxa"/>
              <w:start w:w="140" w:type="dxa"/>
              <w:bottom w:w="120" w:type="dxa"/>
              <w:end w:w="140" w:type="dxa"/>
            </w:tcMar>
            <w:vAlign w:val="center"/>
          </w:tcPr>
          <w:p>
            <w:pPr>
              <w:spacing w:after="0"/>
            </w:pPr>
            <w:r>
              <w:rPr>
                <w:rFonts w:ascii="Arial" w:hAnsi="Arial"/>
                <w:b w:val="0"/>
                <w:i w:val="0"/>
                <w:caps w:val="0"/>
                <w:color w:val="0B0B0B"/>
                <w:sz w:val="21"/>
              </w:rPr>
              <w:t>Du __________________________ au __________________________</w:t>
            </w:r>
          </w:p>
        </w:tc>
      </w:tr>
      <w:tr>
        <w:tc>
          <w:tcPr>
            <w:tcW w:type="dxa" w:w="1872"/>
            <w:tcMar>
              <w:top w:w="120" w:type="dxa"/>
              <w:start w:w="140" w:type="dxa"/>
              <w:bottom w:w="120" w:type="dxa"/>
              <w:end w:w="140" w:type="dxa"/>
            </w:tcMar>
            <w:vAlign w:val="center"/>
            <w:shd w:fill="F4F1E9"/>
          </w:tcPr>
          <w:p>
            <w:r>
              <w:rPr>
                <w:rFonts w:ascii="Arial" w:hAnsi="Arial"/>
                <w:b/>
                <w:i w:val="0"/>
                <w:caps w:val="0"/>
                <w:color w:val="E10600"/>
                <w:sz w:val="19"/>
              </w:rPr>
              <w:t>COLLABORATION</w:t>
            </w:r>
          </w:p>
        </w:tc>
        <w:tc>
          <w:tcPr>
            <w:tcW w:type="dxa" w:w="6552"/>
            <w:tcMar>
              <w:top w:w="120" w:type="dxa"/>
              <w:start w:w="140" w:type="dxa"/>
              <w:bottom w:w="120" w:type="dxa"/>
              <w:end w:w="140" w:type="dxa"/>
            </w:tcMar>
            <w:vAlign w:val="center"/>
          </w:tcPr>
          <w:p>
            <w:pPr>
              <w:spacing w:after="0"/>
            </w:pPr>
            <w:r>
              <w:rPr>
                <w:rFonts w:ascii="Arial" w:hAnsi="Arial"/>
                <w:b w:val="0"/>
                <w:i w:val="0"/>
                <w:caps w:val="0"/>
                <w:color w:val="0B0B0B"/>
                <w:sz w:val="21"/>
              </w:rPr>
              <w:t>Description : __________________________________________________</w:t>
            </w:r>
          </w:p>
        </w:tc>
      </w:tr>
      <w:tr>
        <w:tc>
          <w:tcPr>
            <w:tcW w:type="dxa" w:w="1872"/>
            <w:tcMar>
              <w:top w:w="120" w:type="dxa"/>
              <w:start w:w="140" w:type="dxa"/>
              <w:bottom w:w="120" w:type="dxa"/>
              <w:end w:w="140" w:type="dxa"/>
            </w:tcMar>
            <w:vAlign w:val="center"/>
            <w:shd w:fill="F4F1E9"/>
          </w:tcPr>
          <w:p>
            <w:r>
              <w:rPr>
                <w:rFonts w:ascii="Arial" w:hAnsi="Arial"/>
                <w:b/>
                <w:i w:val="0"/>
                <w:caps w:val="0"/>
                <w:color w:val="E10600"/>
                <w:sz w:val="19"/>
              </w:rPr>
              <w:t>MODÈLE</w:t>
            </w:r>
          </w:p>
        </w:tc>
        <w:tc>
          <w:tcPr>
            <w:tcW w:type="dxa" w:w="6552"/>
            <w:tcMar>
              <w:top w:w="120" w:type="dxa"/>
              <w:start w:w="140" w:type="dxa"/>
              <w:bottom w:w="120" w:type="dxa"/>
              <w:end w:w="140" w:type="dxa"/>
            </w:tcMar>
            <w:vAlign w:val="center"/>
          </w:tcPr>
          <w:p>
            <w:pPr>
              <w:spacing w:after="0"/>
            </w:pPr>
            <w:r>
              <w:rPr>
                <w:rFonts w:ascii="Arial" w:hAnsi="Arial"/>
                <w:b w:val="0"/>
                <w:i w:val="0"/>
                <w:caps w:val="0"/>
                <w:color w:val="0B0B0B"/>
                <w:sz w:val="21"/>
              </w:rPr>
              <w:t>☐ Collaboration spécifique   ☐ Catalogue résident   ☐ Les deux</w:t>
            </w:r>
          </w:p>
        </w:tc>
      </w:tr>
      <w:tr>
        <w:tc>
          <w:tcPr>
            <w:tcW w:type="dxa" w:w="1872"/>
            <w:tcMar>
              <w:top w:w="120" w:type="dxa"/>
              <w:start w:w="140" w:type="dxa"/>
              <w:bottom w:w="120" w:type="dxa"/>
              <w:end w:w="140" w:type="dxa"/>
            </w:tcMar>
            <w:vAlign w:val="center"/>
            <w:shd w:fill="F4F1E9"/>
          </w:tcPr>
          <w:p>
            <w:r>
              <w:rPr>
                <w:rFonts w:ascii="Arial" w:hAnsi="Arial"/>
                <w:b/>
                <w:i w:val="0"/>
                <w:caps w:val="0"/>
                <w:color w:val="E10600"/>
                <w:sz w:val="19"/>
              </w:rPr>
              <w:t>COMMISSION</w:t>
            </w:r>
          </w:p>
        </w:tc>
        <w:tc>
          <w:tcPr>
            <w:tcW w:type="dxa" w:w="6552"/>
            <w:tcMar>
              <w:top w:w="120" w:type="dxa"/>
              <w:start w:w="140" w:type="dxa"/>
              <w:bottom w:w="120" w:type="dxa"/>
              <w:end w:w="140" w:type="dxa"/>
            </w:tcMar>
            <w:vAlign w:val="center"/>
          </w:tcPr>
          <w:p>
            <w:pPr>
              <w:spacing w:after="0"/>
            </w:pPr>
            <w:r>
              <w:rPr>
                <w:rFonts w:ascii="Arial" w:hAnsi="Arial"/>
                <w:b w:val="0"/>
                <w:i w:val="0"/>
                <w:caps w:val="0"/>
                <w:color w:val="0B0B0B"/>
                <w:sz w:val="21"/>
              </w:rPr>
              <w:t>Taux : ______ %   Base de calcul : ______________________________</w:t>
            </w:r>
          </w:p>
        </w:tc>
      </w:tr>
      <w:tr>
        <w:tc>
          <w:tcPr>
            <w:tcW w:type="dxa" w:w="1872"/>
            <w:tcMar>
              <w:top w:w="120" w:type="dxa"/>
              <w:start w:w="140" w:type="dxa"/>
              <w:bottom w:w="120" w:type="dxa"/>
              <w:end w:w="140" w:type="dxa"/>
            </w:tcMar>
            <w:vAlign w:val="center"/>
            <w:shd w:fill="F4F1E9"/>
          </w:tcPr>
          <w:p>
            <w:r>
              <w:rPr>
                <w:rFonts w:ascii="Arial" w:hAnsi="Arial"/>
                <w:b/>
                <w:i w:val="0"/>
                <w:caps w:val="0"/>
                <w:color w:val="E10600"/>
                <w:sz w:val="19"/>
              </w:rPr>
              <w:t>PRODUCTION</w:t>
            </w:r>
          </w:p>
        </w:tc>
        <w:tc>
          <w:tcPr>
            <w:tcW w:type="dxa" w:w="6552"/>
            <w:tcMar>
              <w:top w:w="120" w:type="dxa"/>
              <w:start w:w="140" w:type="dxa"/>
              <w:bottom w:w="120" w:type="dxa"/>
              <w:end w:w="140" w:type="dxa"/>
            </w:tcMar>
            <w:vAlign w:val="center"/>
          </w:tcPr>
          <w:p>
            <w:pPr>
              <w:spacing w:after="0"/>
            </w:pPr>
            <w:r>
              <w:rPr>
                <w:rFonts w:ascii="Arial" w:hAnsi="Arial"/>
                <w:b w:val="0"/>
                <w:i w:val="0"/>
                <w:caps w:val="0"/>
                <w:color w:val="0B0B0B"/>
                <w:sz w:val="21"/>
              </w:rPr>
              <w:t>Responsable : __________________________________________________</w:t>
            </w:r>
          </w:p>
        </w:tc>
      </w:tr>
      <w:tr>
        <w:tc>
          <w:tcPr>
            <w:tcW w:type="dxa" w:w="1872"/>
            <w:tcMar>
              <w:top w:w="120" w:type="dxa"/>
              <w:start w:w="140" w:type="dxa"/>
              <w:bottom w:w="120" w:type="dxa"/>
              <w:end w:w="140" w:type="dxa"/>
            </w:tcMar>
            <w:vAlign w:val="center"/>
            <w:shd w:fill="F4F1E9"/>
          </w:tcPr>
          <w:p>
            <w:r>
              <w:rPr>
                <w:rFonts w:ascii="Arial" w:hAnsi="Arial"/>
                <w:b/>
                <w:i w:val="0"/>
                <w:caps w:val="0"/>
                <w:color w:val="E10600"/>
                <w:sz w:val="19"/>
              </w:rPr>
              <w:t>STOCK</w:t>
            </w:r>
          </w:p>
        </w:tc>
        <w:tc>
          <w:tcPr>
            <w:tcW w:type="dxa" w:w="6552"/>
            <w:tcMar>
              <w:top w:w="120" w:type="dxa"/>
              <w:start w:w="140" w:type="dxa"/>
              <w:bottom w:w="120" w:type="dxa"/>
              <w:end w:w="140" w:type="dxa"/>
            </w:tcMar>
            <w:vAlign w:val="center"/>
          </w:tcPr>
          <w:p>
            <w:pPr>
              <w:spacing w:after="0"/>
            </w:pPr>
            <w:r>
              <w:rPr>
                <w:rFonts w:ascii="Arial" w:hAnsi="Arial"/>
                <w:b w:val="0"/>
                <w:i w:val="0"/>
                <w:caps w:val="0"/>
                <w:color w:val="0B0B0B"/>
                <w:sz w:val="21"/>
              </w:rPr>
              <w:t>Propriétaire / lieu : _____________________________________________</w:t>
            </w:r>
          </w:p>
        </w:tc>
      </w:tr>
      <w:tr>
        <w:tc>
          <w:tcPr>
            <w:tcW w:type="dxa" w:w="1872"/>
            <w:tcMar>
              <w:top w:w="120" w:type="dxa"/>
              <w:start w:w="140" w:type="dxa"/>
              <w:bottom w:w="120" w:type="dxa"/>
              <w:end w:w="140" w:type="dxa"/>
            </w:tcMar>
            <w:vAlign w:val="center"/>
            <w:shd w:fill="F4F1E9"/>
          </w:tcPr>
          <w:p>
            <w:r>
              <w:rPr>
                <w:rFonts w:ascii="Arial" w:hAnsi="Arial"/>
                <w:b/>
                <w:i w:val="0"/>
                <w:caps w:val="0"/>
                <w:color w:val="E10600"/>
                <w:sz w:val="19"/>
              </w:rPr>
              <w:t>EXPÉDITION</w:t>
            </w:r>
          </w:p>
        </w:tc>
        <w:tc>
          <w:tcPr>
            <w:tcW w:type="dxa" w:w="6552"/>
            <w:tcMar>
              <w:top w:w="120" w:type="dxa"/>
              <w:start w:w="140" w:type="dxa"/>
              <w:bottom w:w="120" w:type="dxa"/>
              <w:end w:w="140" w:type="dxa"/>
            </w:tcMar>
            <w:vAlign w:val="center"/>
          </w:tcPr>
          <w:p>
            <w:pPr>
              <w:spacing w:after="0"/>
            </w:pPr>
            <w:r>
              <w:rPr>
                <w:rFonts w:ascii="Arial" w:hAnsi="Arial"/>
                <w:b w:val="0"/>
                <w:i w:val="0"/>
                <w:caps w:val="0"/>
                <w:color w:val="0B0B0B"/>
                <w:sz w:val="21"/>
              </w:rPr>
              <w:t>Responsable et délai : __________________________________________</w:t>
            </w:r>
          </w:p>
        </w:tc>
      </w:tr>
      <w:tr>
        <w:tc>
          <w:tcPr>
            <w:tcW w:type="dxa" w:w="1872"/>
            <w:tcMar>
              <w:top w:w="120" w:type="dxa"/>
              <w:start w:w="140" w:type="dxa"/>
              <w:bottom w:w="120" w:type="dxa"/>
              <w:end w:w="140" w:type="dxa"/>
            </w:tcMar>
            <w:vAlign w:val="center"/>
            <w:shd w:fill="F4F1E9"/>
          </w:tcPr>
          <w:p>
            <w:r>
              <w:rPr>
                <w:rFonts w:ascii="Arial" w:hAnsi="Arial"/>
                <w:b/>
                <w:i w:val="0"/>
                <w:caps w:val="0"/>
                <w:color w:val="E10600"/>
                <w:sz w:val="19"/>
              </w:rPr>
              <w:t>SAV</w:t>
            </w:r>
          </w:p>
        </w:tc>
        <w:tc>
          <w:tcPr>
            <w:tcW w:type="dxa" w:w="6552"/>
            <w:tcMar>
              <w:top w:w="120" w:type="dxa"/>
              <w:start w:w="140" w:type="dxa"/>
              <w:bottom w:w="120" w:type="dxa"/>
              <w:end w:w="140" w:type="dxa"/>
            </w:tcMar>
            <w:vAlign w:val="center"/>
          </w:tcPr>
          <w:p>
            <w:pPr>
              <w:spacing w:after="0"/>
            </w:pPr>
            <w:r>
              <w:rPr>
                <w:rFonts w:ascii="Arial" w:hAnsi="Arial"/>
                <w:b w:val="0"/>
                <w:i w:val="0"/>
                <w:caps w:val="0"/>
                <w:color w:val="0B0B0B"/>
                <w:sz w:val="21"/>
              </w:rPr>
              <w:t>Responsable : ______________________________________________________</w:t>
            </w:r>
          </w:p>
        </w:tc>
      </w:tr>
      <w:tr>
        <w:tc>
          <w:tcPr>
            <w:tcW w:type="dxa" w:w="1872"/>
            <w:tcMar>
              <w:top w:w="120" w:type="dxa"/>
              <w:start w:w="140" w:type="dxa"/>
              <w:bottom w:w="120" w:type="dxa"/>
              <w:end w:w="140" w:type="dxa"/>
            </w:tcMar>
            <w:vAlign w:val="center"/>
            <w:shd w:fill="F4F1E9"/>
          </w:tcPr>
          <w:p>
            <w:r>
              <w:rPr>
                <w:rFonts w:ascii="Arial" w:hAnsi="Arial"/>
                <w:b/>
                <w:i w:val="0"/>
                <w:caps w:val="0"/>
                <w:color w:val="E10600"/>
                <w:sz w:val="19"/>
              </w:rPr>
              <w:t>PAIEMENT</w:t>
            </w:r>
          </w:p>
        </w:tc>
        <w:tc>
          <w:tcPr>
            <w:tcW w:type="dxa" w:w="6552"/>
            <w:tcMar>
              <w:top w:w="120" w:type="dxa"/>
              <w:start w:w="140" w:type="dxa"/>
              <w:bottom w:w="120" w:type="dxa"/>
              <w:end w:w="140" w:type="dxa"/>
            </w:tcMar>
            <w:vAlign w:val="center"/>
          </w:tcPr>
          <w:p>
            <w:pPr>
              <w:spacing w:after="0"/>
            </w:pPr>
            <w:r>
              <w:rPr>
                <w:rFonts w:ascii="Arial" w:hAnsi="Arial"/>
                <w:b w:val="0"/>
                <w:i w:val="0"/>
                <w:caps w:val="0"/>
                <w:color w:val="0B0B0B"/>
                <w:sz w:val="21"/>
              </w:rPr>
              <w:t>Fréquence : __________________   Délai : __________________________</w:t>
            </w:r>
          </w:p>
        </w:tc>
      </w:tr>
      <w:tr>
        <w:tc>
          <w:tcPr>
            <w:tcW w:type="dxa" w:w="1872"/>
            <w:tcMar>
              <w:top w:w="120" w:type="dxa"/>
              <w:start w:w="140" w:type="dxa"/>
              <w:bottom w:w="120" w:type="dxa"/>
              <w:end w:w="140" w:type="dxa"/>
            </w:tcMar>
            <w:vAlign w:val="center"/>
            <w:shd w:fill="F4F1E9"/>
          </w:tcPr>
          <w:p>
            <w:r>
              <w:rPr>
                <w:rFonts w:ascii="Arial" w:hAnsi="Arial"/>
                <w:b/>
                <w:i w:val="0"/>
                <w:caps w:val="0"/>
                <w:color w:val="E10600"/>
                <w:sz w:val="19"/>
              </w:rPr>
              <w:t>DROITS</w:t>
            </w:r>
          </w:p>
        </w:tc>
        <w:tc>
          <w:tcPr>
            <w:tcW w:type="dxa" w:w="6552"/>
            <w:tcMar>
              <w:top w:w="120" w:type="dxa"/>
              <w:start w:w="140" w:type="dxa"/>
              <w:bottom w:w="120" w:type="dxa"/>
              <w:end w:w="140" w:type="dxa"/>
            </w:tcMar>
            <w:vAlign w:val="center"/>
          </w:tcPr>
          <w:p>
            <w:pPr>
              <w:spacing w:after="0"/>
            </w:pPr>
            <w:r>
              <w:rPr>
                <w:rFonts w:ascii="Arial" w:hAnsi="Arial"/>
                <w:b w:val="0"/>
                <w:i w:val="0"/>
                <w:caps w:val="0"/>
                <w:color w:val="0B0B0B"/>
                <w:sz w:val="21"/>
              </w:rPr>
              <w:t>Durée / supports / territoire : ____________________________________</w:t>
            </w:r>
          </w:p>
        </w:tc>
      </w:tr>
      <w:tr>
        <w:tc>
          <w:tcPr>
            <w:tcW w:type="dxa" w:w="1872"/>
            <w:tcMar>
              <w:top w:w="120" w:type="dxa"/>
              <w:start w:w="140" w:type="dxa"/>
              <w:bottom w:w="120" w:type="dxa"/>
              <w:end w:w="140" w:type="dxa"/>
            </w:tcMar>
            <w:vAlign w:val="center"/>
            <w:shd w:fill="F4F1E9"/>
          </w:tcPr>
          <w:p>
            <w:r>
              <w:rPr>
                <w:rFonts w:ascii="Arial" w:hAnsi="Arial"/>
                <w:b/>
                <w:i w:val="0"/>
                <w:caps w:val="0"/>
                <w:color w:val="E10600"/>
                <w:sz w:val="19"/>
              </w:rPr>
              <w:t>PRÉAVIS</w:t>
            </w:r>
          </w:p>
        </w:tc>
        <w:tc>
          <w:tcPr>
            <w:tcW w:type="dxa" w:w="6552"/>
            <w:tcMar>
              <w:top w:w="120" w:type="dxa"/>
              <w:start w:w="140" w:type="dxa"/>
              <w:bottom w:w="120" w:type="dxa"/>
              <w:end w:w="140" w:type="dxa"/>
            </w:tcMar>
            <w:vAlign w:val="center"/>
          </w:tcPr>
          <w:p>
            <w:pPr>
              <w:spacing w:after="0"/>
            </w:pPr>
            <w:r>
              <w:rPr>
                <w:rFonts w:ascii="Arial" w:hAnsi="Arial"/>
                <w:b w:val="0"/>
                <w:i w:val="0"/>
                <w:caps w:val="0"/>
                <w:color w:val="0B0B0B"/>
                <w:sz w:val="21"/>
              </w:rPr>
              <w:t>Durée du préavis de sortie : ______________________________________</w:t>
            </w:r>
          </w:p>
        </w:tc>
      </w:tr>
    </w:tbl>
    <w:p>
      <w:pPr>
        <w:spacing w:after="0"/>
      </w:pPr>
    </w:p>
    <w:p>
      <w:pPr>
        <w:pStyle w:val="Heading2"/>
        <w:keepNext/>
      </w:pPr>
      <w:r>
        <w:t>Validation</w:t>
      </w:r>
    </w:p>
    <w:p>
      <w:pPr>
        <w:spacing w:after="120"/>
      </w:pPr>
      <w:r>
        <w:rPr>
          <w:rFonts w:ascii="Arial" w:hAnsi="Arial"/>
          <w:b w:val="0"/>
          <w:i w:val="0"/>
          <w:caps w:val="0"/>
          <w:color w:val="0B0B0B"/>
          <w:sz w:val="22"/>
        </w:rPr>
        <w:t>En signant, les parties confirment avoir compris les principes du pacte et validé les paramètres ci-dessus, sous réserve de toute formalisation juridique complémentaire nécessaire.</w:t>
      </w:r>
    </w:p>
    <w:tbl>
      <w:tblPr>
        <w:tblW w:type="dxa" w:w="9360"/>
        <w:jc w:val="center"/>
        <w:tblLayout w:type="fixed"/>
        <w:tblLook w:firstColumn="1" w:firstRow="1" w:lastColumn="0" w:lastRow="0" w:noHBand="0" w:noVBand="1" w:val="04A0"/>
        <w:tblInd w:w="120" w:type="dxa"/>
        <w:tblBorders>
          <w:top w:val="single" w:sz="6" w:space="0" w:color="E6E3DC"/>
          <w:left w:val="single" w:sz="6" w:space="0" w:color="E6E3DC"/>
          <w:bottom w:val="single" w:sz="6" w:space="0" w:color="E6E3DC"/>
          <w:right w:val="single" w:sz="6" w:space="0" w:color="E6E3DC"/>
          <w:insideH w:val="single" w:sz="6" w:space="0" w:color="E6E3DC"/>
          <w:insideV w:val="single" w:sz="6" w:space="0" w:color="E6E3DC"/>
        </w:tblBorders>
      </w:tblPr>
      <w:tblGrid>
        <w:gridCol w:w="4680"/>
        <w:gridCol w:w="4680"/>
      </w:tblGrid>
      <w:tr>
        <w:tc>
          <w:tcPr>
            <w:tcW w:type="dxa" w:w="4680"/>
            <w:tcMar>
              <w:top w:w="120" w:type="dxa"/>
              <w:start w:w="140" w:type="dxa"/>
              <w:bottom w:w="120" w:type="dxa"/>
              <w:end w:w="140" w:type="dxa"/>
            </w:tcMar>
            <w:vAlign w:val="center"/>
            <w:shd w:fill="0B0B0B"/>
          </w:tcPr>
          <w:p>
            <w:r>
              <w:rPr>
                <w:rFonts w:ascii="Arial" w:hAnsi="Arial"/>
                <w:b/>
                <w:i w:val="0"/>
                <w:caps w:val="0"/>
                <w:color w:val="FFFFFF"/>
                <w:sz w:val="19"/>
              </w:rPr>
              <w:t>POUR NEWGBONHI</w:t>
            </w:r>
          </w:p>
        </w:tc>
        <w:tc>
          <w:tcPr>
            <w:tcW w:type="dxa" w:w="4680"/>
            <w:tcMar>
              <w:top w:w="120" w:type="dxa"/>
              <w:start w:w="140" w:type="dxa"/>
              <w:bottom w:w="120" w:type="dxa"/>
              <w:end w:w="140" w:type="dxa"/>
            </w:tcMar>
            <w:vAlign w:val="center"/>
            <w:shd w:fill="0B0B0B"/>
          </w:tcPr>
          <w:p>
            <w:r>
              <w:rPr>
                <w:rFonts w:ascii="Arial" w:hAnsi="Arial"/>
                <w:b/>
                <w:i w:val="0"/>
                <w:caps w:val="0"/>
                <w:color w:val="FFFFFF"/>
                <w:sz w:val="19"/>
              </w:rPr>
              <w:t>POUR LE RÉSIDENT</w:t>
            </w:r>
          </w:p>
        </w:tc>
      </w:tr>
      <w:tr>
        <w:tc>
          <w:tcPr>
            <w:tcW w:type="dxa" w:w="4680"/>
            <w:tcMar>
              <w:top w:w="120" w:type="dxa"/>
              <w:start w:w="140" w:type="dxa"/>
              <w:bottom w:w="120" w:type="dxa"/>
              <w:end w:w="140" w:type="dxa"/>
            </w:tcMar>
            <w:vAlign w:val="center"/>
          </w:tcPr>
          <w:p>
            <w:r>
              <w:rPr>
                <w:rFonts w:ascii="Arial" w:hAnsi="Arial"/>
                <w:b w:val="0"/>
                <w:i w:val="0"/>
                <w:caps w:val="0"/>
                <w:color w:val="0B0B0B"/>
                <w:sz w:val="21"/>
              </w:rPr>
              <w:t>Nom :</w:t>
              <w:br/>
              <w:br/>
              <w:t>Date :</w:t>
            </w:r>
          </w:p>
        </w:tc>
        <w:tc>
          <w:tcPr>
            <w:tcW w:type="dxa" w:w="4680"/>
            <w:tcMar>
              <w:top w:w="120" w:type="dxa"/>
              <w:start w:w="140" w:type="dxa"/>
              <w:bottom w:w="120" w:type="dxa"/>
              <w:end w:w="140" w:type="dxa"/>
            </w:tcMar>
            <w:vAlign w:val="center"/>
          </w:tcPr>
          <w:p>
            <w:r>
              <w:rPr>
                <w:rFonts w:ascii="Arial" w:hAnsi="Arial"/>
                <w:b w:val="0"/>
                <w:i w:val="0"/>
                <w:caps w:val="0"/>
                <w:color w:val="0B0B0B"/>
                <w:sz w:val="21"/>
              </w:rPr>
              <w:t>Nom :</w:t>
              <w:br/>
              <w:br/>
              <w:t>Date :</w:t>
            </w:r>
          </w:p>
        </w:tc>
      </w:tr>
      <w:tr>
        <w:tc>
          <w:tcPr>
            <w:tcW w:type="dxa" w:w="4680"/>
            <w:tcMar>
              <w:top w:w="120" w:type="dxa"/>
              <w:start w:w="140" w:type="dxa"/>
              <w:bottom w:w="120" w:type="dxa"/>
              <w:end w:w="140" w:type="dxa"/>
            </w:tcMar>
            <w:vAlign w:val="center"/>
          </w:tcPr>
          <w:p>
            <w:r>
              <w:rPr>
                <w:rFonts w:ascii="Arial" w:hAnsi="Arial"/>
                <w:b w:val="0"/>
                <w:i w:val="0"/>
                <w:caps w:val="0"/>
                <w:color w:val="0B0B0B"/>
                <w:sz w:val="21"/>
              </w:rPr>
              <w:t>Signature :</w:t>
              <w:br/>
              <w:br/>
              <w:br/>
            </w:r>
          </w:p>
        </w:tc>
        <w:tc>
          <w:tcPr>
            <w:tcW w:type="dxa" w:w="4680"/>
            <w:tcMar>
              <w:top w:w="120" w:type="dxa"/>
              <w:start w:w="140" w:type="dxa"/>
              <w:bottom w:w="120" w:type="dxa"/>
              <w:end w:w="140" w:type="dxa"/>
            </w:tcMar>
            <w:vAlign w:val="center"/>
          </w:tcPr>
          <w:p>
            <w:r>
              <w:rPr>
                <w:rFonts w:ascii="Arial" w:hAnsi="Arial"/>
                <w:b w:val="0"/>
                <w:i w:val="0"/>
                <w:caps w:val="0"/>
                <w:color w:val="0B0B0B"/>
                <w:sz w:val="21"/>
              </w:rPr>
              <w:t>Signature :</w:t>
              <w:br/>
              <w:br/>
              <w:br/>
            </w:r>
          </w:p>
        </w:tc>
      </w:tr>
    </w:tbl>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dxa" w:w="9360"/>
      <w:jc w:val="center"/>
      <w:tblLayout w:type="fixed"/>
      <w:tblLook w:firstColumn="1" w:firstRow="1" w:lastColumn="0" w:lastRow="0" w:noHBand="0" w:noVBand="1" w:val="04A0"/>
      <w:tblInd w:w="120" w:type="dxa"/>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6768"/>
      <w:gridCol w:w="2592"/>
    </w:tblGrid>
    <w:tr>
      <w:tc>
        <w:tcPr>
          <w:tcW w:type="dxa" w:w="6768"/>
          <w:tcMar>
            <w:top w:w="120" w:type="dxa"/>
            <w:start w:w="140" w:type="dxa"/>
            <w:bottom w:w="120" w:type="dxa"/>
            <w:end w:w="140" w:type="dxa"/>
          </w:tcMar>
          <w:vAlign w:val="center"/>
        </w:tcPr>
        <w:p>
          <w:r>
            <w:rPr>
              <w:rFonts w:ascii="Arial" w:hAnsi="Arial"/>
              <w:b w:val="0"/>
              <w:i w:val="0"/>
              <w:caps w:val="0"/>
              <w:color w:val="777777"/>
              <w:sz w:val="16"/>
            </w:rPr>
            <w:t>DOCUMENT DE TRAVAIL • ABIDJAN • 2026</w:t>
          </w:r>
        </w:p>
      </w:tc>
      <w:tc>
        <w:tcPr>
          <w:tcW w:type="dxa" w:w="2592"/>
          <w:tcMar>
            <w:top w:w="120" w:type="dxa"/>
            <w:start w:w="140" w:type="dxa"/>
            <w:bottom w:w="120" w:type="dxa"/>
            <w:end w:w="140" w:type="dxa"/>
          </w:tcMar>
          <w:vAlign w:val="center"/>
        </w:tcPr>
        <w:p>
          <w:pPr>
            <w:jc w:val="right"/>
          </w:pPr>
          <w:r>
            <w:rPr>
              <w:rFonts w:ascii="Arial" w:hAnsi="Arial"/>
              <w:b/>
              <w:i w:val="0"/>
              <w:caps w:val="0"/>
              <w:color w:val="E10600"/>
              <w:sz w:val="16"/>
            </w:rPr>
            <w:t>NEWGBONHI FAMILY</w:t>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Arial" w:hAnsi="Arial"/>
        <w:b/>
        <w:i w:val="0"/>
        <w:caps w:val="0"/>
        <w:color w:val="0B0B0B"/>
        <w:sz w:val="17"/>
      </w:rPr>
      <w:t>NEWGBONHI LAB</w:t>
    </w:r>
    <w:r>
      <w:rPr>
        <w:rFonts w:ascii="Arial" w:hAnsi="Arial"/>
        <w:b/>
        <w:i w:val="0"/>
        <w:caps w:val="0"/>
        <w:color w:val="E10600"/>
        <w:sz w:val="17"/>
      </w:rPr>
      <w:t xml:space="preserve">   /   PACTE D'ENTRÉE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Arial" w:hAnsi="Arial"/>
      <w:color w:val="0B0B0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Arial" w:hAnsi="Arial"/>
      <w:b/>
      <w:bCs/>
      <w:color w:val="E10600"/>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rial" w:hAnsi="Arial"/>
      <w:b/>
      <w:bCs/>
      <w:color w:val="0B0B0B"/>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b/>
      <w:bCs/>
      <w:color w:val="30303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contextualSpacing/>
    </w:pPr>
    <w:rPr>
      <w:rFonts w:ascii="Arial" w:hAnsi="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contextualSpacing/>
    </w:pPr>
    <w:rPr>
      <w:rFonts w:ascii="Arial" w:hAnsi="Arial"/>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Pacte d'entrée dans le NewGbonhi Lab</dc:title>
  <dc:subject>Cadre d'engagement des créateurs résidents</dc:subject>
  <dc:creator>NewGbonhi</dc:creator>
  <cp:keywords>NewGbonhi, Lab, créateurs, pacte, résidence</cp:keywords>
  <dc:description>generated by python-docx</dc:description>
  <cp:lastModifiedBy/>
  <cp:revision>1</cp:revision>
  <dcterms:created xsi:type="dcterms:W3CDTF">2013-12-23T23:15:00Z</dcterms:created>
  <dcterms:modified xsi:type="dcterms:W3CDTF">2013-12-23T23:15:00Z</dcterms:modified>
  <cp:category/>
</cp:coreProperties>
</file>