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La Plataforma puede incluir características que promueven la actividad física, la nutrición o el bienestar general. Son solo para fines informativos y no están destinados a ser considerados como asesoramiento o servicios médicos, ni a ser considerados diagnósticos o tratamientos.</w:t>
        <w:br/>
        <w:t>Etiqueta: ok</w:t>
        <w:br/>
        <w:br/>
        <w:t>Cláusula: Si selecciona el Plan de Suscripción Mensual, puede cambiar al Plan de Suscripción Anual en cualquier momento. Si selecciona el Plan de Suscripción Anual, no podrá cambiar al Plan de Suscripción Mensual hasta el final del período de un año de su Plan de Suscripción Anual.</w:t>
        <w:br/>
        <w:t>Etiqueta: ok</w:t>
        <w:br/>
        <w:br/>
        <w:t>Cláusula: Un derecho legal que permite al creador de una obra original (como una entrada de blog, una foto o un vídeo) decidir si otros individuos pueden utilizar dicha obra y la forma en la que pueden hacerlo, de conformidad con ciertas limitaciones y excepciones (como el "uso legítimo").</w:t>
        <w:br/>
        <w:t>Etiqueta: ok</w:t>
        <w:br/>
        <w:br/>
        <w:t>Cláusula: v) causar o lanzar cualquier programa o script con el objeto de extraer, indexar, analizar o de otro modo realizar prospección de datos de cualquier parte de los Servicios o sobrecargar o bloquear indebidamente la operación y/o funcionalidad de cualquier aspecto de los Servicios;</w:t>
        <w:br/>
        <w:t>Etiqueta: ok</w:t>
        <w:br/>
        <w:br/>
        <w:t>Cláusula: La Plataforma puede incluir características que promueven la actividad física, la nutrición o el bienestar general. Son solo para fines informativos y no están destinados a ser considerados como asesoramiento o servicios médicos, ni a ser considerados diagnósticos o tratamientos.</w:t>
        <w:br/>
        <w:t>Etiqueta: ok</w:t>
        <w:br/>
        <w:br/>
        <w:t>Cláusula: A modo de ejemplo, y sin limitarse a ello, cuando el Usuario utilice este Servicio, acepta no:</w:t>
        <w:br/>
        <w:t>- subir, publicar, enviar por correo electrónico, transmitir ni poner a disposición de otros Usuarios de ningún otro modo contenido inadecuado, difamatorio, infractor, obsceno o ilegal;</w:t>
        <w:br/>
        <w:t>Etiqueta: ok</w:t>
        <w:br/>
        <w:br/>
        <w:t>Cláusula: Transacciones: podemos poner a la venta productos digitales. Las compras de los videos de Vimeo On Demand se rigen por nuestro Acuerdo para espectadores de Vimeo On Demand. Las compras de metrajes y licencias de Vimeo Stock se rigen por nuestro Acuerdo de licencia de Vimeo Stock.</w:t>
        <w:br/>
        <w:t>Etiqueta: ok</w:t>
        <w:br/>
        <w:br/>
        <w:t>Cláusula: “Usuario Activo Mensual” o “MAU” es un Usuario de la Aplicación de la Plataforma que utiliza el Servicio a través de una llamada a la API (realizada por o en nombre de la cuenta de Usuario de la Aplicación de la Plataforma) al menos una vez en un período de calendario mensual.</w:t>
        <w:br/>
        <w:t>Etiqueta: ok</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Cláusula abusiva</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abusiva</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Cláusula abusiva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Cláusula abusiva</w:t>
        <w:br/>
        <w:br/>
        <w:t>Cláusula: 1.10 Para todos los efectos, Rappi comparece como una simple plataforma virtual que facilita la comunicación entre el Usuario/Consumidor y el RappiRepartidor, pudiendo el Usuario/Consumidor, solicitar a un RappiRepartidor, el servicio de RappiFavor, el cual se llevará a cabo por el mutuo acuerdo entre las partes. Rappi aclara que la relación será estricta y directamente entre el Usuario/Consumidor y el RappiRepartidor, manteniéndose al margen de la misma, no siendo responsable ni siquiera solidariamente por cualquier hecho que pueda derivarse de la relación entre las dos partes descritas anteriormente.</w:t>
        <w:br/>
        <w:t>Etiqueta: Cláusula abusiva</w:t>
        <w:br/>
        <w:br/>
        <w:t>Cláusula: (a) Resolución informal de disputas: queremos abordar sus inquietudes sin necesidad de un caso legal formal. Antes de presentar un reclamo contra Headspace, usted acepta intentar resolver la disputa de manera informal comunicándose con nosotros por correo electrónico a help@headspace.com o a nuestra dirección postal en Headspace, ATTN: Legal, 2417 Michigan Avenue, Santa Monica, CA 9040, y proporcionándonos su dirección de correo electrónico. Intentaremos resolver la disputa de manera informal comunicándonos con usted por correo electrónico. Si la disputa no se resuelve dentro de los 30 días posteriores a la presentación, usted o Headspace podrán iniciar un procedimiento formal.</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