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b w:val="1"/>
          <w:bCs w:val="1"/>
          <w:sz w:val="40"/>
          <w:szCs w:val="40"/>
        </w:rPr>
      </w:pPr>
      <w:r w:rsidDel="00000000" w:rsidR="00000000" w:rsidRPr="00000000">
        <w:rPr>
          <w:sz w:val="40"/>
          <w:szCs w:val="40"/>
          <w:rtl w:val="0"/>
        </w:rPr>
        <w:t xml:space="preserve">Cuestionario de evaluación de conocimientos</w:t>
      </w:r>
      <w:r w:rsidDel="00000000" w:rsidR="00000000" w:rsidRPr="00000000">
        <w:rPr>
          <w:rtl w:val="0"/>
        </w:rPr>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sz w:val="32"/>
          <w:szCs w:val="32"/>
        </w:rPr>
      </w:pPr>
      <w:r w:rsidDel="00000000" w:rsidR="00000000" w:rsidRPr="00000000">
        <w:rPr>
          <w:sz w:val="32"/>
          <w:szCs w:val="32"/>
          <w:rtl w:val="0"/>
        </w:rPr>
        <w:t xml:space="preserve">Índice temático</w:t>
      </w:r>
    </w:p>
    <w:tbl>
      <w:tblPr>
        <w:tblStyle w:val="Table1"/>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0b1f33" w:val="clear"/>
            <w:tcMar>
              <w:top w:w="60.0" w:type="dxa"/>
              <w:left w:w="60.0" w:type="dxa"/>
              <w:bottom w:w="60.0" w:type="dxa"/>
              <w:right w:w="6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60" w:before="60" w:lineRule="auto"/>
              <w:rPr>
                <w:color w:val="ffffff"/>
                <w:sz w:val="20"/>
                <w:szCs w:val="20"/>
                <w:shd w:fill="auto" w:val="clear"/>
              </w:rPr>
            </w:pPr>
            <w:r w:rsidDel="00000000" w:rsidR="00000000" w:rsidRPr="00000000">
              <w:rPr>
                <w:color w:val="ffffff"/>
                <w:sz w:val="20"/>
                <w:szCs w:val="20"/>
                <w:shd w:fill="auto" w:val="clear"/>
                <w:rtl w:val="0"/>
              </w:rPr>
              <w:t xml:space="preserve">Sección del informe</w:t>
            </w:r>
          </w:p>
        </w:tc>
        <w:tc>
          <w:tcPr>
            <w:tcBorders>
              <w:top w:color="999999" w:space="0" w:sz="6" w:val="single"/>
              <w:left w:color="999999" w:space="0" w:sz="6" w:val="single"/>
              <w:bottom w:color="999999" w:space="0" w:sz="6" w:val="single"/>
              <w:right w:color="999999" w:space="0" w:sz="6" w:val="single"/>
            </w:tcBorders>
            <w:shd w:fill="0b1f33" w:val="clear"/>
            <w:tcMar>
              <w:top w:w="60.0" w:type="dxa"/>
              <w:left w:w="60.0" w:type="dxa"/>
              <w:bottom w:w="60.0" w:type="dxa"/>
              <w:right w:w="6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60" w:before="60" w:lineRule="auto"/>
              <w:rPr>
                <w:color w:val="ffffff"/>
                <w:sz w:val="20"/>
                <w:szCs w:val="20"/>
                <w:shd w:fill="auto" w:val="clear"/>
              </w:rPr>
            </w:pPr>
            <w:r w:rsidDel="00000000" w:rsidR="00000000" w:rsidRPr="00000000">
              <w:rPr>
                <w:color w:val="ffffff"/>
                <w:sz w:val="20"/>
                <w:szCs w:val="20"/>
                <w:shd w:fill="auto" w:val="clear"/>
                <w:rtl w:val="0"/>
              </w:rPr>
              <w:t xml:space="preserve">Básicas</w:t>
            </w:r>
          </w:p>
        </w:tc>
        <w:tc>
          <w:tcPr>
            <w:tcBorders>
              <w:top w:color="999999" w:space="0" w:sz="6" w:val="single"/>
              <w:left w:color="999999" w:space="0" w:sz="6" w:val="single"/>
              <w:bottom w:color="999999" w:space="0" w:sz="6" w:val="single"/>
              <w:right w:color="999999" w:space="0" w:sz="6" w:val="single"/>
            </w:tcBorders>
            <w:shd w:fill="0b1f33" w:val="clear"/>
            <w:tcMar>
              <w:top w:w="60.0" w:type="dxa"/>
              <w:left w:w="60.0" w:type="dxa"/>
              <w:bottom w:w="60.0" w:type="dxa"/>
              <w:right w:w="6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60" w:before="60" w:lineRule="auto"/>
              <w:rPr>
                <w:color w:val="ffffff"/>
                <w:sz w:val="20"/>
                <w:szCs w:val="20"/>
                <w:shd w:fill="auto" w:val="clear"/>
              </w:rPr>
            </w:pPr>
            <w:r w:rsidDel="00000000" w:rsidR="00000000" w:rsidRPr="00000000">
              <w:rPr>
                <w:color w:val="ffffff"/>
                <w:sz w:val="20"/>
                <w:szCs w:val="20"/>
                <w:shd w:fill="auto" w:val="clear"/>
                <w:rtl w:val="0"/>
              </w:rPr>
              <w:t xml:space="preserve">Intermedias</w:t>
            </w:r>
          </w:p>
        </w:tc>
        <w:tc>
          <w:tcPr>
            <w:tcBorders>
              <w:top w:color="999999" w:space="0" w:sz="6" w:val="single"/>
              <w:left w:color="999999" w:space="0" w:sz="6" w:val="single"/>
              <w:bottom w:color="999999" w:space="0" w:sz="6" w:val="single"/>
              <w:right w:color="999999" w:space="0" w:sz="6" w:val="single"/>
            </w:tcBorders>
            <w:shd w:fill="0b1f33" w:val="clear"/>
            <w:tcMar>
              <w:top w:w="60.0" w:type="dxa"/>
              <w:left w:w="60.0" w:type="dxa"/>
              <w:bottom w:w="60.0" w:type="dxa"/>
              <w:right w:w="6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60" w:before="60" w:lineRule="auto"/>
              <w:rPr>
                <w:color w:val="ffffff"/>
                <w:sz w:val="20"/>
                <w:szCs w:val="20"/>
                <w:shd w:fill="auto" w:val="clear"/>
              </w:rPr>
            </w:pPr>
            <w:r w:rsidDel="00000000" w:rsidR="00000000" w:rsidRPr="00000000">
              <w:rPr>
                <w:color w:val="ffffff"/>
                <w:sz w:val="20"/>
                <w:szCs w:val="20"/>
                <w:shd w:fill="auto" w:val="clear"/>
                <w:rtl w:val="0"/>
              </w:rPr>
              <w:t xml:space="preserve">Avanzadas</w:t>
            </w:r>
          </w:p>
        </w:tc>
        <w:tc>
          <w:tcPr>
            <w:tcBorders>
              <w:top w:color="999999" w:space="0" w:sz="6" w:val="single"/>
              <w:left w:color="999999" w:space="0" w:sz="6" w:val="single"/>
              <w:bottom w:color="999999" w:space="0" w:sz="6" w:val="single"/>
              <w:right w:color="999999" w:space="0" w:sz="6" w:val="single"/>
            </w:tcBorders>
            <w:shd w:fill="0b1f33" w:val="clear"/>
            <w:tcMar>
              <w:top w:w="60.0" w:type="dxa"/>
              <w:left w:w="60.0" w:type="dxa"/>
              <w:bottom w:w="60.0" w:type="dxa"/>
              <w:right w:w="6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60" w:before="60" w:lineRule="auto"/>
              <w:rPr>
                <w:color w:val="ffffff"/>
                <w:sz w:val="20"/>
                <w:szCs w:val="20"/>
                <w:shd w:fill="auto" w:val="clear"/>
              </w:rPr>
            </w:pPr>
            <w:r w:rsidDel="00000000" w:rsidR="00000000" w:rsidRPr="00000000">
              <w:rPr>
                <w:color w:val="ffffff"/>
                <w:sz w:val="20"/>
                <w:szCs w:val="20"/>
                <w:shd w:fill="auto" w:val="clear"/>
                <w:rtl w:val="0"/>
              </w:rPr>
              <w:t xml:space="preserve">Total</w:t>
            </w:r>
          </w:p>
        </w:tc>
        <w:tc>
          <w:tcPr>
            <w:tcBorders>
              <w:top w:color="999999" w:space="0" w:sz="6" w:val="single"/>
              <w:left w:color="999999" w:space="0" w:sz="6" w:val="single"/>
              <w:bottom w:color="999999" w:space="0" w:sz="6" w:val="single"/>
              <w:right w:color="999999" w:space="0" w:sz="6" w:val="single"/>
            </w:tcBorders>
            <w:shd w:fill="0b1f33" w:val="clear"/>
            <w:tcMar>
              <w:top w:w="60.0" w:type="dxa"/>
              <w:left w:w="60.0" w:type="dxa"/>
              <w:bottom w:w="60.0" w:type="dxa"/>
              <w:right w:w="6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60" w:before="60" w:lineRule="auto"/>
              <w:rPr>
                <w:color w:val="ffffff"/>
                <w:sz w:val="20"/>
                <w:szCs w:val="20"/>
                <w:shd w:fill="auto" w:val="clear"/>
              </w:rPr>
            </w:pPr>
            <w:r w:rsidDel="00000000" w:rsidR="00000000" w:rsidRPr="00000000">
              <w:rPr>
                <w:color w:val="ffffff"/>
                <w:sz w:val="20"/>
                <w:szCs w:val="20"/>
                <w:shd w:fill="auto" w:val="clear"/>
                <w:rtl w:val="0"/>
              </w:rPr>
              <w:t xml:space="preserve">Preguntas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1. Marco teórico y conceptual</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2</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0</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3</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Q1, Q10, Q17</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2.1 Modelos de ejecución y aislamiento</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3</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Q2, Q11, Q23</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2.2 Arranque en frío</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3</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Q3, Q18, Q24</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2.3 Facturación por consumo y punto de equilibrio</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3</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Q12, Q19, Q25</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2.4 Diseño orientado a eventos</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2</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0</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3</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Q4, Q13, Q26</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2.5 WebAssembly y WASI</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0</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2</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Q5, Q14</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2.6 Límites técnicos y dependencia del proveedor</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0</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2</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Q20, Q27</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3. Análisis comparativo (3.1 y 3.2)</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2</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4</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Q6, Q7, Q15, Q28</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4.1 Prueba de concepto</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0</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2</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Q8, Q21</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4.2 Modelo de costos</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0</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2</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Q22, Q29</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4.3 Caso TERABYTE</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0</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2</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Q9, Q16</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5. Tendencias y riesgos</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0</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0</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Q30</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60" w:before="60" w:lineRule="auto"/>
              <w:rPr>
                <w:b w:val="1"/>
                <w:bCs w:val="1"/>
                <w:sz w:val="20"/>
                <w:szCs w:val="20"/>
              </w:rPr>
            </w:pPr>
            <w:r w:rsidDel="00000000" w:rsidR="00000000" w:rsidRPr="00000000">
              <w:rPr>
                <w:b w:val="1"/>
                <w:bCs w:val="1"/>
                <w:sz w:val="20"/>
                <w:szCs w:val="20"/>
                <w:rtl w:val="0"/>
              </w:rPr>
              <w:t xml:space="preserve">Total</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60" w:before="60" w:lineRule="auto"/>
              <w:rPr>
                <w:b w:val="1"/>
                <w:bCs w:val="1"/>
                <w:sz w:val="20"/>
                <w:szCs w:val="20"/>
              </w:rPr>
            </w:pPr>
            <w:r w:rsidDel="00000000" w:rsidR="00000000" w:rsidRPr="00000000">
              <w:rPr>
                <w:b w:val="1"/>
                <w:bCs w:val="1"/>
                <w:sz w:val="20"/>
                <w:szCs w:val="20"/>
                <w:rtl w:val="0"/>
              </w:rPr>
              <w:t xml:space="preserve">12</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60" w:before="60" w:lineRule="auto"/>
              <w:rPr>
                <w:b w:val="1"/>
                <w:bCs w:val="1"/>
                <w:sz w:val="20"/>
                <w:szCs w:val="20"/>
              </w:rPr>
            </w:pPr>
            <w:r w:rsidDel="00000000" w:rsidR="00000000" w:rsidRPr="00000000">
              <w:rPr>
                <w:b w:val="1"/>
                <w:bCs w:val="1"/>
                <w:sz w:val="20"/>
                <w:szCs w:val="20"/>
                <w:rtl w:val="0"/>
              </w:rPr>
              <w:t xml:space="preserve">12</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60" w:before="60" w:lineRule="auto"/>
              <w:rPr>
                <w:b w:val="1"/>
                <w:bCs w:val="1"/>
                <w:sz w:val="20"/>
                <w:szCs w:val="20"/>
              </w:rPr>
            </w:pPr>
            <w:r w:rsidDel="00000000" w:rsidR="00000000" w:rsidRPr="00000000">
              <w:rPr>
                <w:b w:val="1"/>
                <w:bCs w:val="1"/>
                <w:sz w:val="20"/>
                <w:szCs w:val="20"/>
                <w:rtl w:val="0"/>
              </w:rPr>
              <w:t xml:space="preserve">6</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60" w:before="60" w:lineRule="auto"/>
              <w:rPr>
                <w:b w:val="1"/>
                <w:bCs w:val="1"/>
                <w:sz w:val="20"/>
                <w:szCs w:val="20"/>
              </w:rPr>
            </w:pPr>
            <w:r w:rsidDel="00000000" w:rsidR="00000000" w:rsidRPr="00000000">
              <w:rPr>
                <w:b w:val="1"/>
                <w:bCs w:val="1"/>
                <w:sz w:val="20"/>
                <w:szCs w:val="20"/>
                <w:rtl w:val="0"/>
              </w:rPr>
              <w:t xml:space="preserve">30</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Q1–Q30</w:t>
            </w:r>
          </w:p>
        </w:tc>
      </w:tr>
    </w:tbl>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Preguntas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Q1. </w:t>
      </w:r>
      <w:r w:rsidDel="00000000" w:rsidR="00000000" w:rsidRPr="00000000">
        <w:rPr>
          <w:rtl w:val="0"/>
        </w:rPr>
        <w:t xml:space="preserve">¿Cuál de las siguientes</w:t>
      </w:r>
      <w:r w:rsidDel="00000000" w:rsidR="00000000" w:rsidRPr="00000000">
        <w:rPr>
          <w:rtl w:val="0"/>
        </w:rPr>
        <w:t xml:space="preserve"> no es una de las tres cualidades esenciales de la computación sin servidor?</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Abstracción de los servidores y de su operación.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Cobro por uso en vez de por reserva.</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Escalamiento automático desde cero.</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Ejecución del código en el borde de la red, cerca del usuario.</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Q2. </w:t>
      </w:r>
      <w:r w:rsidDel="00000000" w:rsidR="00000000" w:rsidRPr="00000000">
        <w:rPr>
          <w:rtl w:val="0"/>
        </w:rPr>
        <w:t xml:space="preserve">¿Qué mecanismo de aislamiento usa Cloudflare Workers para separar a sus clientes?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microVM de Firecracker.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Núcleo en espacio de usuario (gVisor).</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w:t>
      </w:r>
      <w:r w:rsidDel="00000000" w:rsidR="00000000" w:rsidRPr="00000000">
        <w:rPr>
          <w:i w:val="1"/>
          <w:iCs w:val="1"/>
          <w:rtl w:val="0"/>
        </w:rPr>
        <w:t xml:space="preserve">Isolates</w:t>
      </w:r>
      <w:r w:rsidDel="00000000" w:rsidR="00000000" w:rsidRPr="00000000">
        <w:rPr>
          <w:rtl w:val="0"/>
        </w:rPr>
        <w:t xml:space="preserve"> de V8 dentro de un proceso compartido.</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Una máquina virtual completa por cliente.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Q3. </w:t>
      </w:r>
      <w:r w:rsidDel="00000000" w:rsidR="00000000" w:rsidRPr="00000000">
        <w:rPr>
          <w:rtl w:val="0"/>
        </w:rPr>
        <w:t xml:space="preserve">¿En qué escenario</w:t>
      </w:r>
      <w:r w:rsidDel="00000000" w:rsidR="00000000" w:rsidRPr="00000000">
        <w:rPr>
          <w:rtl w:val="0"/>
        </w:rPr>
        <w:t xml:space="preserve"> de carga la concurrencia aprovisionada resulta más económica?</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Ráfagas esporádicas separadas por largos períodos sin tráfico.</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Tráfico sostenido, con más de un 60 % de uso continuo.</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Procesos asíncronos que corren fuera de la ruta crítica.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Funciones que se invocan una o dos veces al día.</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Q4. </w:t>
      </w:r>
      <w:r w:rsidDel="00000000" w:rsidR="00000000" w:rsidRPr="00000000">
        <w:rPr>
          <w:rtl w:val="0"/>
        </w:rPr>
        <w:t xml:space="preserve">¿Qué distingue a una cola punto a punto de un esquema de publicación/suscripción?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No hay diferencia: son dos nombres para el mismo patrón.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La cola garantiza siempre entrega exactamente una vez; publicación/suscripción nunca.</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Publicación/suscripción exige que publicador y suscriptor estén activos al mismo tiempo.</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En la cola cada mensaje llega a un único consumidor; en publicación/suscripción el evento se difunde a todos los suscriptores del tópico.</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Q5. </w:t>
      </w:r>
      <w:r w:rsidDel="00000000" w:rsidR="00000000" w:rsidRPr="00000000">
        <w:rPr>
          <w:rtl w:val="0"/>
        </w:rPr>
        <w:t xml:space="preserve">¿En cuál de estas cargas</w:t>
      </w:r>
      <w:r w:rsidDel="00000000" w:rsidR="00000000" w:rsidRPr="00000000">
        <w:rPr>
          <w:rtl w:val="0"/>
        </w:rPr>
        <w:t xml:space="preserve"> conviene más ejecutar WebAssembly en el borde?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Una aplicación que debe migrar sin cambios entre Fastly Compute y Cloudflare Workers.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Cómputo numérico intensivo que corre durante varias horas.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Funciones intermitentes u orientadas a eventos, que escalan a cero con frecuencia.</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Un servicio que debe ejecutar un binario nativo de Linux sin recompilarlo.</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Q6. </w:t>
      </w:r>
      <w:r w:rsidDel="00000000" w:rsidR="00000000" w:rsidRPr="00000000">
        <w:rPr>
          <w:rtl w:val="0"/>
        </w:rPr>
        <w:t xml:space="preserve">Entre las alternativas adicionales de cómputo en el borde, ¿qué aporta Azion Edge Functions a la comparación?</w:t>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Presencia y operación documentadas en Latinoamérica.</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Precio de lista en euros y operación en la Unión Europea.</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El mismo motor de funciones en versión gestionada y autoalojada.</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Una base de datos Redis con cobro por comando.</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Q7. </w:t>
      </w:r>
      <w:r w:rsidDel="00000000" w:rsidR="00000000" w:rsidRPr="00000000">
        <w:rPr>
          <w:rtl w:val="0"/>
        </w:rPr>
        <w:t xml:space="preserve">Un proceso de análisis tarda 8 minutos, se invoca por HTTP y debe responder en la misma conexión. Según sus límites máximos publicados, ¿cuál de estas plataformas lo admite sin rediseñar el proceso?</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Azure Functions.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Google Cloud Run.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AWS CloudFront Functions.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Fastly Compute.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Q8. </w:t>
      </w:r>
      <w:r w:rsidDel="00000000" w:rsidR="00000000" w:rsidRPr="00000000">
        <w:rPr>
          <w:rtl w:val="0"/>
        </w:rPr>
        <w:t xml:space="preserve">Con las medianas de la prueba de concepto (frío / caliente, en ms): AWS Lambda 838 / 442, Google Cloud Run 922 / 203 y Cloudflare Workers 569 / 567, ¿qué plataforma tuvo la mayor penalización de arranque y de cuánto fue?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Google Cloud Run, unos 719 ms.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AWS Lambda, unos 396 ms.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Google Cloud Run, unos 922 ms.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Cloudflare Workers, unos 569 ms.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Q9. </w:t>
      </w:r>
      <w:r w:rsidDel="00000000" w:rsidR="00000000" w:rsidRPr="00000000">
        <w:rPr>
          <w:rtl w:val="0"/>
        </w:rPr>
        <w:t xml:space="preserve">¿Dónde se ubica el tráfico mensual estimado del núcleo transaccional del terminal de TERABYTE respecto del volumen de equilibrio entre AWS Lambda y una flota siempre encendida?</w:t>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Muy cerca de los 24,0 millones, por lo que ambos modelos cuestan lo mismo.</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En el orden de un par de millones de solicitudes al mes, muy por debajo de los 24,0 millones.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Sobre los 54,5 millones, donde la flota fija siempre es más barata.</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 No puede estimarse con los datos del terminal.</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Verdadero o falso (Q10–Q16)</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Q10. </w:t>
      </w:r>
      <w:r w:rsidDel="00000000" w:rsidR="00000000" w:rsidRPr="00000000">
        <w:rPr>
          <w:rtl w:val="0"/>
        </w:rPr>
        <w:t xml:space="preserve">Que una plataforma sea “sin servidor” significa que no existen servidores ni tareas de operación asociadas a la aplicación. _____</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Q11. </w:t>
      </w:r>
      <w:r w:rsidDel="00000000" w:rsidR="00000000" w:rsidRPr="00000000">
        <w:rPr>
          <w:rtl w:val="0"/>
        </w:rPr>
        <w:t xml:space="preserve">Una aplicación que depende de un binario nativo de Linux ya compilado puede desplegarse sin cambios en Cloudflare Workers, igual que en AWS Lambda._____</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Q12. </w:t>
      </w:r>
      <w:r w:rsidDel="00000000" w:rsidR="00000000" w:rsidRPr="00000000">
        <w:rPr>
          <w:rtl w:val="0"/>
        </w:rPr>
        <w:t xml:space="preserve">Cloudflare Workers cobra por el tiempo de reloj que dura cada solicitud, incluido el tiempo que la función pasa esperando respuestas de red.______</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Q13. </w:t>
      </w:r>
      <w:r w:rsidDel="00000000" w:rsidR="00000000" w:rsidRPr="00000000">
        <w:rPr>
          <w:rtl w:val="0"/>
        </w:rPr>
        <w:t xml:space="preserve">Un consumidor que lee de una cola estándar de Amazon SQS puede asumir que cada mensaje se procesará exactamente una vez, por lo que no necesita ser idempotente.______</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Q14. </w:t>
      </w:r>
      <w:r w:rsidDel="00000000" w:rsidR="00000000" w:rsidRPr="00000000">
        <w:rPr>
          <w:rtl w:val="0"/>
        </w:rPr>
        <w:t xml:space="preserve">Un módulo WebAssembly puede leer archivos o abrir conexiones del sistema anfitrión por defecto, sin declarar ninguna importación._______</w:t>
        <w:br w:type="textWrapping"/>
        <w:br w:type="textWrapping"/>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br w:type="textWrapping"/>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Q15. </w:t>
      </w:r>
      <w:r w:rsidDel="00000000" w:rsidR="00000000" w:rsidRPr="00000000">
        <w:rPr>
          <w:rtl w:val="0"/>
        </w:rPr>
        <w:t xml:space="preserve">Según el cuadro comparativo, Cloudflare Workers (plan Paid) no cobra el egreso de datos, mientras que AWS Lambda lo cobra a USD 0,09/GB después de los primeros 100 GB mensuales.______</w:t>
        <w:br w:type="textWrapping"/>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Q16. </w:t>
      </w:r>
      <w:r w:rsidDel="00000000" w:rsidR="00000000" w:rsidRPr="00000000">
        <w:rPr>
          <w:rtl w:val="0"/>
        </w:rPr>
        <w:t xml:space="preserve">Como el tráfico de TERABYTE está muy por debajo del volumen de equilibrio, la propuesta del grupo ejecuta el núcleo operacional, el gate y el patio del terminal sobre funciones sin servidor.______</w:t>
        <w:br w:type="textWrapping"/>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Completar (Q17–Q22)</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Q17. </w:t>
      </w:r>
      <w:r w:rsidDel="00000000" w:rsidR="00000000" w:rsidRPr="00000000">
        <w:rPr>
          <w:rtl w:val="0"/>
        </w:rPr>
        <w:t xml:space="preserve">Cuando no hay solicitudes, Google Cloud Run retira incluso la última instancia; en cambio, AWS ____________ sigue cobrando hasta que la tarea ____________. Por eso, en los contenedores sin servidor no siempre hay escala a cero.</w:t>
        <w:br w:type="textWrapping"/>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Q18. </w:t>
      </w:r>
      <w:r w:rsidDel="00000000" w:rsidR="00000000" w:rsidRPr="00000000">
        <w:rPr>
          <w:rtl w:val="0"/>
        </w:rPr>
        <w:t xml:space="preserve">Cuando no hay instancias disponibles, la plataforma debe reservar recursos, crear el entorno aislado, cargar el runtime y las dependencias y ejecutar la inicialización; esa latencia es el arranque en ____________. Reutilizar una instancia ya preparada es un arranque en ____________.</w:t>
        <w:br w:type="textWrapping"/>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Q19. </w:t>
      </w:r>
      <w:r w:rsidDel="00000000" w:rsidR="00000000" w:rsidRPr="00000000">
        <w:rPr>
          <w:rtl w:val="0"/>
        </w:rPr>
        <w:t xml:space="preserve">La factura</w:t>
      </w:r>
      <w:r w:rsidDel="00000000" w:rsidR="00000000" w:rsidRPr="00000000">
        <w:rPr>
          <w:rtl w:val="0"/>
        </w:rPr>
        <w:t xml:space="preserve"> de una plataforma sin servidor combina cuatro factores: el tiempo de ____________ facturable, los recursos asignados o consumidos durante ese tiempo, la ____________ o mínimo de cobro y un cargo fijo por ____________.</w:t>
        <w:br w:type="textWrapping"/>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Q20. </w:t>
      </w:r>
      <w:r w:rsidDel="00000000" w:rsidR="00000000" w:rsidRPr="00000000">
        <w:rPr>
          <w:rtl w:val="0"/>
        </w:rPr>
        <w:t xml:space="preserve">En AWS Lambda, una función puede ejecutarse como máximo ____________ segundos, y la carga útil síncrona por solicitud y por respuesta está limitada a ____________ MB.</w:t>
        <w:br w:type="textWrapping"/>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Q21. </w:t>
      </w:r>
      <w:r w:rsidDel="00000000" w:rsidR="00000000" w:rsidRPr="00000000">
        <w:rPr>
          <w:rtl w:val="0"/>
        </w:rPr>
        <w:t xml:space="preserve">En la prueba de concepto del grupo, cada petición se clasifica como fría o caliente según ____________, y no según su ____________.</w:t>
        <w:br w:type="textWrapping"/>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Q22. </w:t>
      </w:r>
      <w:r w:rsidDel="00000000" w:rsidR="00000000" w:rsidRPr="00000000">
        <w:rPr>
          <w:rtl w:val="0"/>
        </w:rPr>
        <w:t xml:space="preserve">Al comparar AWS Lambda (512 MB y 200 ms por solicitud) con dos instancias t3.medium reservadas a un año, Lambda es más barata</w:t>
      </w:r>
      <w:r w:rsidDel="00000000" w:rsidR="00000000" w:rsidRPr="00000000">
        <w:rPr>
          <w:rtl w:val="0"/>
        </w:rPr>
        <w:t xml:space="preserve"> hasta ____________ millones de solicitudes al mes, volumen en el que iguala los USD ____________ mensuales del par de instancias.</w:t>
        <w:br w:type="textWrapping"/>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Respuesta corta (Q23–Q30)</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Q23. </w:t>
      </w:r>
      <w:r w:rsidDel="00000000" w:rsidR="00000000" w:rsidRPr="00000000">
        <w:rPr>
          <w:rtl w:val="0"/>
        </w:rPr>
        <w:t xml:space="preserve">Google reconoce que el entorno de Cloud Run basado en microVM rinde más bajo carga sostenida, pero arranca más lento que el basado en gVisor en algunos servicios. ¿Qué implica esto para elegir un mecanismo de aislamiento según el patrón de carga, y por qué se dice que ningún runtime gana en todo?</w:t>
        <w:br w:type="textWrapping"/>
        <w:br w:type="textWrapping"/>
        <w:br w:type="textWrapping"/>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Q24. </w:t>
      </w:r>
      <w:r w:rsidDel="00000000" w:rsidR="00000000" w:rsidRPr="00000000">
        <w:rPr>
          <w:rtl w:val="0"/>
        </w:rPr>
        <w:t xml:space="preserve">¿Por qué se afirma que la concurrencia aprovisionada acerca una función al modelo siempre encendido? Menciona además un caso de arranque en frío que esta mitigación no resuelve.</w:t>
        <w:br w:type="textWrapping"/>
        <w:br w:type="textWrapping"/>
        <w:br w:type="textWrapping"/>
        <w:br w:type="textWrapping"/>
        <w:br w:type="textWrapping"/>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Q25. </w:t>
      </w:r>
      <w:r w:rsidDel="00000000" w:rsidR="00000000" w:rsidRPr="00000000">
        <w:rPr>
          <w:rtl w:val="0"/>
        </w:rPr>
        <w:t xml:space="preserve">Una función pasa 180 ms esperando la respuesta de una base de datos y usa 20 ms de CPU. ¿Por qué el cobro por tiempo de reloj la encarece, qué ocurre si esa función se encadena con otra y cómo cambiaría el costo con un cobro por tiempo de CPU como el de Cloudflare Workers?</w:t>
        <w:br w:type="textWrapping"/>
        <w:br w:type="textWrapping"/>
        <w:br w:type="textWrapping"/>
        <w:br w:type="textWrapping"/>
        <w:br w:type="textWrapping"/>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Q26. </w:t>
      </w:r>
      <w:r w:rsidDel="00000000" w:rsidR="00000000" w:rsidRPr="00000000">
        <w:rPr>
          <w:rtl w:val="0"/>
        </w:rPr>
        <w:t xml:space="preserve">Un sistema portuario procesa, por un lado, lecturas de sensores de temperatura ambiente y, por otro, cobros de servicios a las navieras. ¿Qué garantía de entrega usarías en cada flujo y qué criterio justifica la diferencia?</w:t>
        <w:br w:type="textWrapping"/>
        <w:br w:type="textWrapping"/>
        <w:br w:type="textWrapping"/>
        <w:br w:type="textWrapping"/>
        <w:br w:type="textWrapping"/>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Q27. </w:t>
      </w:r>
      <w:r w:rsidDel="00000000" w:rsidR="00000000" w:rsidRPr="00000000">
        <w:rPr>
          <w:rtl w:val="0"/>
        </w:rPr>
        <w:t xml:space="preserve">¿Dónde se concentra principalmente la dependencia del proveedor en una arquitectura sin servidor, y cuándo conviene pagar el costo de una capa de abstracción multinube?</w:t>
        <w:br w:type="textWrapping"/>
        <w:br w:type="textWrapping"/>
        <w:br w:type="textWrapping"/>
        <w:br w:type="textWrapping"/>
        <w:br w:type="textWrapping"/>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Q28. </w:t>
      </w:r>
      <w:r w:rsidDel="00000000" w:rsidR="00000000" w:rsidRPr="00000000">
        <w:rPr>
          <w:rtl w:val="0"/>
        </w:rPr>
        <w:t xml:space="preserve">El análisis del cuadro sostiene que la promesa de «escala a cero y pago estricto por uso» se tensiona en la práctica. Da dos ejemplos concretos del cuadro que lo muestren y explica qué implican para una carga sostenida.</w:t>
        <w:br w:type="textWrapping"/>
        <w:br w:type="textWrapping"/>
        <w:br w:type="textWrapping"/>
        <w:br w:type="textWrapping"/>
        <w:br w:type="textWrapping"/>
        <w:br w:type="textWrapping"/>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Q29. </w:t>
      </w:r>
      <w:r w:rsidDel="00000000" w:rsidR="00000000" w:rsidRPr="00000000">
        <w:rPr>
          <w:rtl w:val="0"/>
        </w:rPr>
        <w:t xml:space="preserve">El volumen de equilibrio de 24,0 millones baja a 5,3 millones con 1 GB y 500 ms por solicitud, y con instancias bajo demanda Lambda ni siquiera llega a cruzar. ¿Qué explica esta sensibilidad y por qué el informe pide leer el resultado como un orden de magnitud?</w:t>
        <w:br w:type="textWrapping"/>
        <w:br w:type="textWrapping"/>
        <w:br w:type="textWrapping"/>
        <w:br w:type="textWrapping"/>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Q30. </w:t>
      </w:r>
      <w:r w:rsidDel="00000000" w:rsidR="00000000" w:rsidRPr="00000000">
        <w:rPr>
          <w:rtl w:val="0"/>
        </w:rPr>
        <w:t xml:space="preserve">Un modelo de costos sitúa el equilibrio entre AWS Lambda y una flota fija en 24,0 millones de solicitudes al mes. ¿Por qué</w:t>
      </w:r>
      <w:r w:rsidDel="00000000" w:rsidR="00000000" w:rsidRPr="00000000">
        <w:rPr>
          <w:rtl w:val="0"/>
        </w:rPr>
        <w:t xml:space="preserve"> en una arquitectura muy descompuesta en funciones, como la del monitoreo de Prime Video, el cruce real llega antes, y qué dato acota esa conclusión?</w:t>
        <w:br w:type="textWrapping"/>
        <w:br w:type="textWrapping"/>
        <w:br w:type="textWrapping"/>
        <w:br w:type="textWrapping"/>
        <w:br w:type="textWrapping"/>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Justificación Respuestas cada Q</w:t>
      </w:r>
    </w:p>
    <w:tbl>
      <w:tblPr>
        <w:tblStyle w:val="Table2"/>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0b1f33" w:val="clear"/>
            <w:tcMar>
              <w:top w:w="60.0" w:type="dxa"/>
              <w:left w:w="60.0" w:type="dxa"/>
              <w:bottom w:w="60.0" w:type="dxa"/>
              <w:right w:w="6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60" w:before="60" w:lineRule="auto"/>
              <w:rPr>
                <w:color w:val="ffffff"/>
                <w:sz w:val="20"/>
                <w:szCs w:val="20"/>
                <w:shd w:fill="auto" w:val="clear"/>
              </w:rPr>
            </w:pPr>
            <w:r w:rsidDel="00000000" w:rsidR="00000000" w:rsidRPr="00000000">
              <w:rPr>
                <w:color w:val="ffffff"/>
                <w:sz w:val="20"/>
                <w:szCs w:val="20"/>
                <w:shd w:fill="auto" w:val="clear"/>
                <w:rtl w:val="0"/>
              </w:rPr>
              <w:t xml:space="preserve">Pregunta</w:t>
            </w:r>
          </w:p>
        </w:tc>
        <w:tc>
          <w:tcPr>
            <w:tcBorders>
              <w:top w:color="999999" w:space="0" w:sz="6" w:val="single"/>
              <w:left w:color="999999" w:space="0" w:sz="6" w:val="single"/>
              <w:bottom w:color="999999" w:space="0" w:sz="6" w:val="single"/>
              <w:right w:color="999999" w:space="0" w:sz="6" w:val="single"/>
            </w:tcBorders>
            <w:shd w:fill="0b1f33" w:val="clear"/>
            <w:tcMar>
              <w:top w:w="60.0" w:type="dxa"/>
              <w:left w:w="60.0" w:type="dxa"/>
              <w:bottom w:w="60.0" w:type="dxa"/>
              <w:right w:w="6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60" w:before="60" w:lineRule="auto"/>
              <w:rPr>
                <w:color w:val="ffffff"/>
                <w:sz w:val="20"/>
                <w:szCs w:val="20"/>
                <w:shd w:fill="auto" w:val="clear"/>
              </w:rPr>
            </w:pPr>
            <w:r w:rsidDel="00000000" w:rsidR="00000000" w:rsidRPr="00000000">
              <w:rPr>
                <w:color w:val="ffffff"/>
                <w:sz w:val="20"/>
                <w:szCs w:val="20"/>
                <w:shd w:fill="auto" w:val="clear"/>
                <w:rtl w:val="0"/>
              </w:rPr>
              <w:t xml:space="preserve">Sección</w:t>
            </w:r>
          </w:p>
        </w:tc>
        <w:tc>
          <w:tcPr>
            <w:tcBorders>
              <w:top w:color="999999" w:space="0" w:sz="6" w:val="single"/>
              <w:left w:color="999999" w:space="0" w:sz="6" w:val="single"/>
              <w:bottom w:color="999999" w:space="0" w:sz="6" w:val="single"/>
              <w:right w:color="999999" w:space="0" w:sz="6" w:val="single"/>
            </w:tcBorders>
            <w:shd w:fill="0b1f33" w:val="clear"/>
            <w:tcMar>
              <w:top w:w="60.0" w:type="dxa"/>
              <w:left w:w="60.0" w:type="dxa"/>
              <w:bottom w:w="60.0" w:type="dxa"/>
              <w:right w:w="6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60" w:before="60" w:lineRule="auto"/>
              <w:rPr>
                <w:color w:val="ffffff"/>
                <w:sz w:val="20"/>
                <w:szCs w:val="20"/>
                <w:shd w:fill="auto" w:val="clear"/>
              </w:rPr>
            </w:pPr>
            <w:r w:rsidDel="00000000" w:rsidR="00000000" w:rsidRPr="00000000">
              <w:rPr>
                <w:color w:val="ffffff"/>
                <w:sz w:val="20"/>
                <w:szCs w:val="20"/>
                <w:shd w:fill="auto" w:val="clear"/>
                <w:rtl w:val="0"/>
              </w:rPr>
              <w:t xml:space="preserve">Respuesta</w:t>
            </w:r>
          </w:p>
        </w:tc>
        <w:tc>
          <w:tcPr>
            <w:tcBorders>
              <w:top w:color="999999" w:space="0" w:sz="6" w:val="single"/>
              <w:left w:color="999999" w:space="0" w:sz="6" w:val="single"/>
              <w:bottom w:color="999999" w:space="0" w:sz="6" w:val="single"/>
              <w:right w:color="999999" w:space="0" w:sz="6" w:val="single"/>
            </w:tcBorders>
            <w:shd w:fill="0b1f33" w:val="clear"/>
            <w:tcMar>
              <w:top w:w="60.0" w:type="dxa"/>
              <w:left w:w="60.0" w:type="dxa"/>
              <w:bottom w:w="60.0" w:type="dxa"/>
              <w:right w:w="6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60" w:before="60" w:lineRule="auto"/>
              <w:rPr>
                <w:color w:val="ffffff"/>
                <w:sz w:val="20"/>
                <w:szCs w:val="20"/>
                <w:shd w:fill="auto" w:val="clear"/>
              </w:rPr>
            </w:pPr>
            <w:r w:rsidDel="00000000" w:rsidR="00000000" w:rsidRPr="00000000">
              <w:rPr>
                <w:color w:val="ffffff"/>
                <w:sz w:val="20"/>
                <w:szCs w:val="20"/>
                <w:shd w:fill="auto" w:val="clear"/>
                <w:rtl w:val="0"/>
              </w:rPr>
              <w:t xml:space="preserve">Por qué</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Q1</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d</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El borde es un modelo de ejecución, no una de las tres cualidades.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Q2</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2.1</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c</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Workers usa isolates de V8; Firecracker es de Lambda y gVisor de Cloud Run.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Q3</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2.2</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b</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Sobre 60 % de uso continuo conviene; con poco uso se paga capacidad ociosa y en procesos asíncronos el frío es tolerable.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Q4</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2.4</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d</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Cola = un consumidor; pub/sub = todos los suscriptores.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Q5</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2.5</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c</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Arranca rápido y escala a cero; en cómputo largo es más lento que nativo, la portabilidad entre proveedores no está garantizada y solo ejecuta bytecode Wasm.</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Q6</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3.1</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a</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Azion aporta presencia en Latinoamérica; euros y UE es Scaleway, motor gestionado y autoalojado es OCI Functions / Fn Project, y cobro por comando es Upstash.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Q7</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3.2</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b</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Cloud Run admite hasta 60 min (subiendo el límite por defecto de 300 s); Azure topa en 230 s y las otras en ms de CPU.</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Q8</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4.1</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a</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rFonts w:ascii="Arial Unicode MS" w:cs="Arial Unicode MS" w:eastAsia="Arial Unicode MS" w:hAnsi="Arial Unicode MS"/>
                <w:sz w:val="20"/>
                <w:szCs w:val="20"/>
                <w:rtl w:val="0"/>
              </w:rPr>
              <w:t xml:space="preserve">922 − 203 ≈ 719 ms (la resta cancela la red).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Q9</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4.3</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b</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El terminal ronda un par de millones al mes, lejos de 24,0 M.</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Q10</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Falso</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Los servidores siguen existiendo; su gestión pasa al proveedor.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Q11</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2.1</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Falso</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Los isolates solo corren JavaScript y WebAssembly, no binarios nativos.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Q12</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2.3</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Falso</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Workers cobra tiempo de CPU, no de reloj.</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Q13</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2.4</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Falso</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SQS estándar entrega al menos una vez: puede duplicar.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Q14</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2.5</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Falso</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Wasm no tiene acceso al host sin importaciones explícitas.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Q15</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3.2</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Verdadero</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Workers no cobra egreso; Lambda sí, después de 100 GB.</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Q16</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4.3</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Falso</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El núcleo va en cómputo local siempre encendido por latencia y autonomía sin red.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Q17</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Fargate; termina</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Fargate cobra hasta que la tarea termina; Cloud Run sí escala a cero.</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Q18</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2.2</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frío; caliente</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Frío = preparar un entorno nuevo; caliente = reutilizar uno listo.</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Q19</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2.3</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reloj; granularidad; invocación</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Son los cuatro componentes de la factura sin servidor.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Q20</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2.6</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900; 6</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Límites de Lambda (900 s = 15 min).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Q21</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4.1</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lo que devuelve la función (también válido: el identificador o la edad de la instancia); latencia</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La clasificación nunca usa la latencia medida.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Q22</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4.2</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24,0; 37,96</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Punto de equilibrio del escenario base.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Q23</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2.1</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Carga sostenida: microVM (mejor CPU y red). Ráfagas con arranques frecuentes: gVisor (arranca más rápido, pero penaliza llamadas al sistema y red).</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Seguridad, compatibilidad, densidad y arranque se transan entre sí (Wang et al., 2022); se elige por el código y el patrón de carga.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Q24</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2.2</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Paga instancias ociosas (piso fijo); no cubre el paso de N a N+1.</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Por eso se parece a una instancia reservada.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Q25</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2.3</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Se paga la espera (200 ms en vez de 20); encadenar duplica la espera; con CPU se pagan ~20 ms.</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El cobro por reloj incluye la espera por E/S.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Q26</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2.4</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Sensores: QoS 0. Cobros: QoS 2 (o idempotencia).</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Criterio: el costo del error; un cobro duplicado es un error grave.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Q27</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2.6</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En el estado externalizado; la capa multinube conviene si se piensa migrar.</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La capa tiene un costo medible: +3,2 % y +3,8 % de arranque en frío.</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Q28</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3.2</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Ej.: concurrencia aprovisionada o Always Ready (piso fijo); Lambda@Edge 3× el GB-s.</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Con carga sostenida el costo se acerca al de una instancia reservada.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Q29</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4.2</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Lambda cobra por memoria × tiempo; la flota depende del precio por hora y de los picos.</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Es un orden de magnitud porque excluye balanceador, NAT y operación.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Q30</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5</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Porque el modelo solo cobra invocaciones y GB-s; la orquestación (Step Functions) y el almacenamiento (S3) quedan fuera. Prime Video bajó 90 % su costo al pasar a EC2/ECS.</w:t>
            </w:r>
          </w:p>
        </w:tc>
        <w:tc>
          <w:tcPr>
            <w:tcBorders>
              <w:top w:color="999999" w:space="0" w:sz="6" w:val="single"/>
              <w:left w:color="999999" w:space="0" w:sz="6" w:val="single"/>
              <w:bottom w:color="999999" w:space="0" w:sz="6" w:val="single"/>
              <w:right w:color="999999"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60" w:before="60" w:lineRule="auto"/>
              <w:rPr>
                <w:sz w:val="20"/>
                <w:szCs w:val="20"/>
              </w:rPr>
            </w:pPr>
            <w:r w:rsidDel="00000000" w:rsidR="00000000" w:rsidRPr="00000000">
              <w:rPr>
                <w:sz w:val="20"/>
                <w:szCs w:val="20"/>
                <w:rtl w:val="0"/>
              </w:rPr>
              <w:t xml:space="preserve">Lo acota que el 82 % de 89 aplicaciones usa cinco funciones o menos.</w:t>
            </w:r>
          </w:p>
        </w:tc>
      </w:tr>
    </w:tbl>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