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7E5B4" w14:textId="11CCBF02" w:rsidR="006F100C" w:rsidRDefault="006F100C" w:rsidP="006F100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David Merdian</w:t>
      </w:r>
    </w:p>
    <w:p w14:paraId="76C85AA8" w14:textId="12C1E952" w:rsidR="006F100C" w:rsidRDefault="006F100C" w:rsidP="006F100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Hist 445</w:t>
      </w:r>
    </w:p>
    <w:p w14:paraId="3420A1F7" w14:textId="007BA6ED" w:rsidR="006F100C" w:rsidRDefault="006F100C" w:rsidP="006F100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Brown</w:t>
      </w:r>
    </w:p>
    <w:p w14:paraId="22BF8F77" w14:textId="6848A718" w:rsidR="006F100C" w:rsidRDefault="006F100C" w:rsidP="006F100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October 4, 2019</w:t>
      </w:r>
    </w:p>
    <w:p w14:paraId="3FD74DA9" w14:textId="74BFD1A6" w:rsidR="006F100C" w:rsidRDefault="006F100C" w:rsidP="006F100C">
      <w:pPr>
        <w:spacing w:after="0" w:line="480" w:lineRule="auto"/>
        <w:rPr>
          <w:rFonts w:ascii="Times New Roman" w:hAnsi="Times New Roman" w:cs="Times New Roman"/>
          <w:color w:val="000000" w:themeColor="text1"/>
          <w:sz w:val="24"/>
          <w:szCs w:val="24"/>
        </w:rPr>
      </w:pPr>
      <w:r w:rsidRPr="006F100C">
        <w:rPr>
          <w:rFonts w:ascii="Times New Roman" w:hAnsi="Times New Roman" w:cs="Times New Roman"/>
          <w:i/>
          <w:iCs/>
          <w:color w:val="000000" w:themeColor="text1"/>
          <w:sz w:val="24"/>
          <w:szCs w:val="24"/>
        </w:rPr>
        <w:t>McCullough v. Maryland</w:t>
      </w:r>
      <w:r>
        <w:rPr>
          <w:rFonts w:ascii="Times New Roman" w:hAnsi="Times New Roman" w:cs="Times New Roman"/>
          <w:color w:val="000000" w:themeColor="text1"/>
          <w:sz w:val="24"/>
          <w:szCs w:val="24"/>
        </w:rPr>
        <w:t xml:space="preserve"> Brief</w:t>
      </w:r>
    </w:p>
    <w:p w14:paraId="2ABA3F68" w14:textId="72764F90" w:rsidR="00201812" w:rsidRDefault="00201812" w:rsidP="00A6792B">
      <w:pPr>
        <w:spacing w:after="0" w:line="480" w:lineRule="auto"/>
        <w:ind w:firstLine="720"/>
        <w:rPr>
          <w:rFonts w:ascii="Times New Roman" w:hAnsi="Times New Roman" w:cs="Times New Roman"/>
          <w:color w:val="000000" w:themeColor="text1"/>
          <w:sz w:val="24"/>
          <w:szCs w:val="24"/>
        </w:rPr>
      </w:pPr>
      <w:r w:rsidRPr="00201812">
        <w:rPr>
          <w:rFonts w:ascii="Times New Roman" w:hAnsi="Times New Roman" w:cs="Times New Roman"/>
          <w:color w:val="000000" w:themeColor="text1"/>
          <w:sz w:val="24"/>
          <w:szCs w:val="24"/>
        </w:rPr>
        <w:t xml:space="preserve">The case before </w:t>
      </w:r>
      <w:r>
        <w:rPr>
          <w:rFonts w:ascii="Times New Roman" w:hAnsi="Times New Roman" w:cs="Times New Roman"/>
          <w:color w:val="000000" w:themeColor="text1"/>
          <w:sz w:val="24"/>
          <w:szCs w:val="24"/>
        </w:rPr>
        <w:t>the Court today poses two questions regarding the Bank of the United States: 1.) does Congress have the power to create the bank, and 2.) does the state of Maryland’s tax on it unconstitutionally interfere with congressional power? This brief will argue that the answer to both of these questions is “no</w:t>
      </w:r>
      <w:r w:rsidR="00A6792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0A45A0">
        <w:rPr>
          <w:rFonts w:ascii="Times New Roman" w:hAnsi="Times New Roman" w:cs="Times New Roman"/>
          <w:color w:val="000000" w:themeColor="text1"/>
          <w:sz w:val="24"/>
          <w:szCs w:val="24"/>
        </w:rPr>
        <w:t xml:space="preserve"> </w:t>
      </w:r>
      <w:r w:rsidR="00A6792B">
        <w:rPr>
          <w:rFonts w:ascii="Times New Roman" w:hAnsi="Times New Roman" w:cs="Times New Roman"/>
          <w:color w:val="000000" w:themeColor="text1"/>
          <w:sz w:val="24"/>
          <w:szCs w:val="24"/>
        </w:rPr>
        <w:t xml:space="preserve">It will </w:t>
      </w:r>
      <w:r w:rsidR="000A45A0">
        <w:rPr>
          <w:rFonts w:ascii="Times New Roman" w:hAnsi="Times New Roman" w:cs="Times New Roman"/>
          <w:color w:val="000000" w:themeColor="text1"/>
          <w:sz w:val="24"/>
          <w:szCs w:val="24"/>
        </w:rPr>
        <w:t xml:space="preserve">answer the first by arguing for a narrow reading of the Necessary and Proper Clause and </w:t>
      </w:r>
      <w:r w:rsidR="00A6792B">
        <w:rPr>
          <w:rFonts w:ascii="Times New Roman" w:hAnsi="Times New Roman" w:cs="Times New Roman"/>
          <w:color w:val="000000" w:themeColor="text1"/>
          <w:sz w:val="24"/>
          <w:szCs w:val="24"/>
        </w:rPr>
        <w:t xml:space="preserve">the second by </w:t>
      </w:r>
      <w:r w:rsidR="000A45A0">
        <w:rPr>
          <w:rFonts w:ascii="Times New Roman" w:hAnsi="Times New Roman" w:cs="Times New Roman"/>
          <w:color w:val="000000" w:themeColor="text1"/>
          <w:sz w:val="24"/>
          <w:szCs w:val="24"/>
        </w:rPr>
        <w:t xml:space="preserve">successively </w:t>
      </w:r>
      <w:r w:rsidR="00A6792B">
        <w:rPr>
          <w:rFonts w:ascii="Times New Roman" w:hAnsi="Times New Roman" w:cs="Times New Roman"/>
          <w:color w:val="000000" w:themeColor="text1"/>
          <w:sz w:val="24"/>
          <w:szCs w:val="24"/>
        </w:rPr>
        <w:t>reminding the Court of the high degree of sovereignty states retain under the Constitution, the co-equality of both the state and national governments to collect revenue, and arguing against the precedent not allowing the state to tax the bank would set.</w:t>
      </w:r>
      <w:r w:rsidR="00B433E2">
        <w:rPr>
          <w:rFonts w:ascii="Times New Roman" w:hAnsi="Times New Roman" w:cs="Times New Roman"/>
          <w:color w:val="000000" w:themeColor="text1"/>
          <w:sz w:val="24"/>
          <w:szCs w:val="24"/>
        </w:rPr>
        <w:t xml:space="preserve"> In so doing, this brief will demonstrate not only that Congress lacks the authority to create the bank, but that even if it does have the authority, the state still has the authority to tax the bank.</w:t>
      </w:r>
    </w:p>
    <w:p w14:paraId="481B8174" w14:textId="7576F66B" w:rsidR="00AF0E35" w:rsidRDefault="00B433E2" w:rsidP="00DA420B">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answer the first question in further detail, we turn first to Article 1, Section 8</w:t>
      </w:r>
      <w:r w:rsidR="00527430">
        <w:rPr>
          <w:rFonts w:ascii="Times New Roman" w:hAnsi="Times New Roman" w:cs="Times New Roman"/>
          <w:color w:val="000000" w:themeColor="text1"/>
          <w:sz w:val="24"/>
          <w:szCs w:val="24"/>
        </w:rPr>
        <w:t xml:space="preserve">, </w:t>
      </w:r>
      <w:r w:rsidR="00DA420B">
        <w:rPr>
          <w:rFonts w:ascii="Times New Roman" w:hAnsi="Times New Roman" w:cs="Times New Roman"/>
          <w:color w:val="000000" w:themeColor="text1"/>
          <w:sz w:val="24"/>
          <w:szCs w:val="24"/>
        </w:rPr>
        <w:t xml:space="preserve">where we find clauses permitting Congress “To </w:t>
      </w:r>
      <w:r w:rsidR="00DA420B" w:rsidRPr="00DA420B">
        <w:rPr>
          <w:rFonts w:ascii="Times New Roman" w:hAnsi="Times New Roman" w:cs="Times New Roman"/>
          <w:color w:val="000000" w:themeColor="text1"/>
          <w:sz w:val="24"/>
          <w:szCs w:val="24"/>
        </w:rPr>
        <w:t>lay and collect Taxes</w:t>
      </w:r>
      <w:r w:rsidR="00DA420B">
        <w:rPr>
          <w:rFonts w:ascii="Times New Roman" w:hAnsi="Times New Roman" w:cs="Times New Roman"/>
          <w:color w:val="000000" w:themeColor="text1"/>
          <w:sz w:val="24"/>
          <w:szCs w:val="24"/>
        </w:rPr>
        <w:t xml:space="preserve">,” “to </w:t>
      </w:r>
      <w:r w:rsidR="00DA420B" w:rsidRPr="00DA420B">
        <w:rPr>
          <w:rFonts w:ascii="Times New Roman" w:hAnsi="Times New Roman" w:cs="Times New Roman"/>
          <w:color w:val="000000" w:themeColor="text1"/>
          <w:sz w:val="24"/>
          <w:szCs w:val="24"/>
        </w:rPr>
        <w:t>pay the Debts</w:t>
      </w:r>
      <w:r w:rsidR="00DA420B">
        <w:rPr>
          <w:rFonts w:ascii="Times New Roman" w:hAnsi="Times New Roman" w:cs="Times New Roman"/>
          <w:color w:val="000000" w:themeColor="text1"/>
          <w:sz w:val="24"/>
          <w:szCs w:val="24"/>
        </w:rPr>
        <w:t>…</w:t>
      </w:r>
      <w:r w:rsidR="00DA420B" w:rsidRPr="00DA420B">
        <w:rPr>
          <w:rFonts w:ascii="Times New Roman" w:hAnsi="Times New Roman" w:cs="Times New Roman"/>
          <w:color w:val="000000" w:themeColor="text1"/>
          <w:sz w:val="24"/>
          <w:szCs w:val="24"/>
        </w:rPr>
        <w:t>of the United States</w:t>
      </w:r>
      <w:r w:rsidR="00DA420B">
        <w:rPr>
          <w:rFonts w:ascii="Times New Roman" w:hAnsi="Times New Roman" w:cs="Times New Roman"/>
          <w:color w:val="000000" w:themeColor="text1"/>
          <w:sz w:val="24"/>
          <w:szCs w:val="24"/>
        </w:rPr>
        <w:t>,”</w:t>
      </w:r>
      <w:r w:rsidR="00E57187">
        <w:rPr>
          <w:rStyle w:val="FootnoteReference"/>
          <w:rFonts w:ascii="Times New Roman" w:hAnsi="Times New Roman" w:cs="Times New Roman"/>
          <w:color w:val="000000" w:themeColor="text1"/>
          <w:sz w:val="24"/>
          <w:szCs w:val="24"/>
        </w:rPr>
        <w:footnoteReference w:id="1"/>
      </w:r>
      <w:r w:rsidR="00DA420B" w:rsidRPr="00DA420B">
        <w:rPr>
          <w:rFonts w:ascii="Times New Roman" w:hAnsi="Times New Roman" w:cs="Times New Roman"/>
          <w:color w:val="000000" w:themeColor="text1"/>
          <w:sz w:val="24"/>
          <w:szCs w:val="24"/>
        </w:rPr>
        <w:t xml:space="preserve"> </w:t>
      </w:r>
      <w:r w:rsidR="00DA420B">
        <w:rPr>
          <w:rFonts w:ascii="Times New Roman" w:hAnsi="Times New Roman" w:cs="Times New Roman"/>
          <w:color w:val="000000" w:themeColor="text1"/>
          <w:sz w:val="24"/>
          <w:szCs w:val="24"/>
        </w:rPr>
        <w:t xml:space="preserve">“To </w:t>
      </w:r>
      <w:r w:rsidR="00DA420B" w:rsidRPr="00DA420B">
        <w:rPr>
          <w:rFonts w:ascii="Times New Roman" w:hAnsi="Times New Roman" w:cs="Times New Roman"/>
          <w:color w:val="000000" w:themeColor="text1"/>
          <w:sz w:val="24"/>
          <w:szCs w:val="24"/>
        </w:rPr>
        <w:t>borrow money on the credit of the United States</w:t>
      </w:r>
      <w:r w:rsidR="00DA420B">
        <w:rPr>
          <w:rFonts w:ascii="Times New Roman" w:hAnsi="Times New Roman" w:cs="Times New Roman"/>
          <w:color w:val="000000" w:themeColor="text1"/>
          <w:sz w:val="24"/>
          <w:szCs w:val="24"/>
        </w:rPr>
        <w:t>,”</w:t>
      </w:r>
      <w:r w:rsidR="00E57187">
        <w:rPr>
          <w:rStyle w:val="FootnoteReference"/>
          <w:rFonts w:ascii="Times New Roman" w:hAnsi="Times New Roman" w:cs="Times New Roman"/>
          <w:color w:val="000000" w:themeColor="text1"/>
          <w:sz w:val="24"/>
          <w:szCs w:val="24"/>
        </w:rPr>
        <w:footnoteReference w:id="2"/>
      </w:r>
      <w:r w:rsidR="00DA420B">
        <w:rPr>
          <w:rFonts w:ascii="Times New Roman" w:hAnsi="Times New Roman" w:cs="Times New Roman"/>
          <w:color w:val="000000" w:themeColor="text1"/>
          <w:sz w:val="24"/>
          <w:szCs w:val="24"/>
        </w:rPr>
        <w:t xml:space="preserve"> “</w:t>
      </w:r>
      <w:r w:rsidR="00DA420B" w:rsidRPr="00DA420B">
        <w:rPr>
          <w:rFonts w:ascii="Times New Roman" w:hAnsi="Times New Roman" w:cs="Times New Roman"/>
          <w:color w:val="000000" w:themeColor="text1"/>
          <w:sz w:val="24"/>
          <w:szCs w:val="24"/>
        </w:rPr>
        <w:t>To regulate Commerce</w:t>
      </w:r>
      <w:r w:rsidR="00DA420B">
        <w:rPr>
          <w:rFonts w:ascii="Times New Roman" w:hAnsi="Times New Roman" w:cs="Times New Roman"/>
          <w:color w:val="000000" w:themeColor="text1"/>
          <w:sz w:val="24"/>
          <w:szCs w:val="24"/>
        </w:rPr>
        <w:t>…</w:t>
      </w:r>
      <w:r w:rsidR="00DA420B" w:rsidRPr="00DA420B">
        <w:rPr>
          <w:rFonts w:ascii="Times New Roman" w:hAnsi="Times New Roman" w:cs="Times New Roman"/>
          <w:color w:val="000000" w:themeColor="text1"/>
          <w:sz w:val="24"/>
          <w:szCs w:val="24"/>
        </w:rPr>
        <w:t>among the several States</w:t>
      </w:r>
      <w:r w:rsidR="00DA420B">
        <w:rPr>
          <w:rFonts w:ascii="Times New Roman" w:hAnsi="Times New Roman" w:cs="Times New Roman"/>
          <w:color w:val="000000" w:themeColor="text1"/>
          <w:sz w:val="24"/>
          <w:szCs w:val="24"/>
        </w:rPr>
        <w:t>,”</w:t>
      </w:r>
      <w:r w:rsidR="00E57187">
        <w:rPr>
          <w:rStyle w:val="FootnoteReference"/>
          <w:rFonts w:ascii="Times New Roman" w:hAnsi="Times New Roman" w:cs="Times New Roman"/>
          <w:color w:val="000000" w:themeColor="text1"/>
          <w:sz w:val="24"/>
          <w:szCs w:val="24"/>
        </w:rPr>
        <w:footnoteReference w:id="3"/>
      </w:r>
      <w:r w:rsidR="00DA420B">
        <w:rPr>
          <w:rFonts w:ascii="Times New Roman" w:hAnsi="Times New Roman" w:cs="Times New Roman"/>
          <w:color w:val="000000" w:themeColor="text1"/>
          <w:sz w:val="24"/>
          <w:szCs w:val="24"/>
        </w:rPr>
        <w:t xml:space="preserve"> and “</w:t>
      </w:r>
      <w:r w:rsidR="00DA420B" w:rsidRPr="00DA420B">
        <w:rPr>
          <w:rFonts w:ascii="Times New Roman" w:hAnsi="Times New Roman" w:cs="Times New Roman"/>
          <w:color w:val="000000" w:themeColor="text1"/>
          <w:sz w:val="24"/>
          <w:szCs w:val="24"/>
        </w:rPr>
        <w:t>To coin Money,</w:t>
      </w:r>
      <w:r w:rsidR="00DA420B">
        <w:rPr>
          <w:rFonts w:ascii="Times New Roman" w:hAnsi="Times New Roman" w:cs="Times New Roman"/>
          <w:color w:val="000000" w:themeColor="text1"/>
          <w:sz w:val="24"/>
          <w:szCs w:val="24"/>
        </w:rPr>
        <w:t xml:space="preserve"> [and]</w:t>
      </w:r>
      <w:r w:rsidR="00DA420B" w:rsidRPr="00DA420B">
        <w:rPr>
          <w:rFonts w:ascii="Times New Roman" w:hAnsi="Times New Roman" w:cs="Times New Roman"/>
          <w:color w:val="000000" w:themeColor="text1"/>
          <w:sz w:val="24"/>
          <w:szCs w:val="24"/>
        </w:rPr>
        <w:t xml:space="preserve"> regulate the Value thereof</w:t>
      </w:r>
      <w:r w:rsidR="002349B8">
        <w:rPr>
          <w:rFonts w:ascii="Times New Roman" w:hAnsi="Times New Roman" w:cs="Times New Roman"/>
          <w:color w:val="000000" w:themeColor="text1"/>
          <w:sz w:val="24"/>
          <w:szCs w:val="24"/>
        </w:rPr>
        <w:t>.</w:t>
      </w:r>
      <w:r w:rsidR="00DA420B">
        <w:rPr>
          <w:rFonts w:ascii="Times New Roman" w:hAnsi="Times New Roman" w:cs="Times New Roman"/>
          <w:color w:val="000000" w:themeColor="text1"/>
          <w:sz w:val="24"/>
          <w:szCs w:val="24"/>
        </w:rPr>
        <w:t>”</w:t>
      </w:r>
      <w:r w:rsidR="00E57187">
        <w:rPr>
          <w:rStyle w:val="FootnoteReference"/>
          <w:rFonts w:ascii="Times New Roman" w:hAnsi="Times New Roman" w:cs="Times New Roman"/>
          <w:color w:val="000000" w:themeColor="text1"/>
          <w:sz w:val="24"/>
          <w:szCs w:val="24"/>
        </w:rPr>
        <w:footnoteReference w:id="4"/>
      </w:r>
      <w:r w:rsidR="002349B8">
        <w:rPr>
          <w:rFonts w:ascii="Times New Roman" w:hAnsi="Times New Roman" w:cs="Times New Roman"/>
          <w:color w:val="000000" w:themeColor="text1"/>
          <w:sz w:val="24"/>
          <w:szCs w:val="24"/>
        </w:rPr>
        <w:t xml:space="preserve"> In other words, we find several phrases permitting congress to perform a variety of functions at least tangentially related to banking and the functions a bank performs, but nowhere </w:t>
      </w:r>
      <w:r w:rsidR="002349B8">
        <w:rPr>
          <w:rFonts w:ascii="Times New Roman" w:hAnsi="Times New Roman" w:cs="Times New Roman"/>
          <w:color w:val="000000" w:themeColor="text1"/>
          <w:sz w:val="24"/>
          <w:szCs w:val="24"/>
        </w:rPr>
        <w:lastRenderedPageBreak/>
        <w:t>do we find a clause specifically permitting the Congress to charter a bank. Even if we concede that Congress, under the Necessary and Proper clause</w:t>
      </w:r>
      <w:r w:rsidR="00BA6358">
        <w:rPr>
          <w:rStyle w:val="FootnoteReference"/>
          <w:rFonts w:ascii="Times New Roman" w:hAnsi="Times New Roman" w:cs="Times New Roman"/>
          <w:color w:val="000000" w:themeColor="text1"/>
          <w:sz w:val="24"/>
          <w:szCs w:val="24"/>
        </w:rPr>
        <w:footnoteReference w:id="5"/>
      </w:r>
      <w:r w:rsidR="002349B8">
        <w:rPr>
          <w:rFonts w:ascii="Times New Roman" w:hAnsi="Times New Roman" w:cs="Times New Roman"/>
          <w:color w:val="000000" w:themeColor="text1"/>
          <w:sz w:val="24"/>
          <w:szCs w:val="24"/>
        </w:rPr>
        <w:t>, has implied powers beyond those explicitly listed in Section 8</w:t>
      </w:r>
      <w:r w:rsidR="00AF0E35">
        <w:rPr>
          <w:rFonts w:ascii="Times New Roman" w:hAnsi="Times New Roman" w:cs="Times New Roman"/>
          <w:color w:val="000000" w:themeColor="text1"/>
          <w:sz w:val="24"/>
          <w:szCs w:val="24"/>
        </w:rPr>
        <w:t xml:space="preserve"> of Article 1</w:t>
      </w:r>
      <w:r w:rsidR="002349B8">
        <w:rPr>
          <w:rFonts w:ascii="Times New Roman" w:hAnsi="Times New Roman" w:cs="Times New Roman"/>
          <w:color w:val="000000" w:themeColor="text1"/>
          <w:sz w:val="24"/>
          <w:szCs w:val="24"/>
        </w:rPr>
        <w:t xml:space="preserve">, does this include the power to charter a bank? </w:t>
      </w:r>
      <w:r w:rsidR="00AF0E35">
        <w:rPr>
          <w:rFonts w:ascii="Times New Roman" w:hAnsi="Times New Roman" w:cs="Times New Roman"/>
          <w:color w:val="000000" w:themeColor="text1"/>
          <w:sz w:val="24"/>
          <w:szCs w:val="24"/>
        </w:rPr>
        <w:t>The answer</w:t>
      </w:r>
      <w:r w:rsidR="002349B8">
        <w:rPr>
          <w:rFonts w:ascii="Times New Roman" w:hAnsi="Times New Roman" w:cs="Times New Roman"/>
          <w:color w:val="000000" w:themeColor="text1"/>
          <w:sz w:val="24"/>
          <w:szCs w:val="24"/>
        </w:rPr>
        <w:t xml:space="preserve"> to this question</w:t>
      </w:r>
      <w:r w:rsidR="00AF0E35">
        <w:rPr>
          <w:rFonts w:ascii="Times New Roman" w:hAnsi="Times New Roman" w:cs="Times New Roman"/>
          <w:color w:val="000000" w:themeColor="text1"/>
          <w:sz w:val="24"/>
          <w:szCs w:val="24"/>
        </w:rPr>
        <w:t xml:space="preserve"> turns </w:t>
      </w:r>
      <w:r w:rsidR="002349B8">
        <w:rPr>
          <w:rFonts w:ascii="Times New Roman" w:hAnsi="Times New Roman" w:cs="Times New Roman"/>
          <w:color w:val="000000" w:themeColor="text1"/>
          <w:sz w:val="24"/>
          <w:szCs w:val="24"/>
        </w:rPr>
        <w:t xml:space="preserve">we </w:t>
      </w:r>
      <w:r w:rsidR="00AF0E35">
        <w:rPr>
          <w:rFonts w:ascii="Times New Roman" w:hAnsi="Times New Roman" w:cs="Times New Roman"/>
          <w:color w:val="000000" w:themeColor="text1"/>
          <w:sz w:val="24"/>
          <w:szCs w:val="24"/>
        </w:rPr>
        <w:t>on</w:t>
      </w:r>
      <w:r w:rsidR="002349B8">
        <w:rPr>
          <w:rFonts w:ascii="Times New Roman" w:hAnsi="Times New Roman" w:cs="Times New Roman"/>
          <w:color w:val="000000" w:themeColor="text1"/>
          <w:sz w:val="24"/>
          <w:szCs w:val="24"/>
        </w:rPr>
        <w:t xml:space="preserve"> the meanings of those </w:t>
      </w:r>
      <w:r w:rsidR="00AF0E35">
        <w:rPr>
          <w:rFonts w:ascii="Times New Roman" w:hAnsi="Times New Roman" w:cs="Times New Roman"/>
          <w:color w:val="000000" w:themeColor="text1"/>
          <w:sz w:val="24"/>
          <w:szCs w:val="24"/>
        </w:rPr>
        <w:t xml:space="preserve">two </w:t>
      </w:r>
      <w:r w:rsidR="002349B8">
        <w:rPr>
          <w:rFonts w:ascii="Times New Roman" w:hAnsi="Times New Roman" w:cs="Times New Roman"/>
          <w:color w:val="000000" w:themeColor="text1"/>
          <w:sz w:val="24"/>
          <w:szCs w:val="24"/>
        </w:rPr>
        <w:t>words, “Necessary” and “Proper</w:t>
      </w:r>
      <w:r w:rsidR="00AF0E35">
        <w:rPr>
          <w:rFonts w:ascii="Times New Roman" w:hAnsi="Times New Roman" w:cs="Times New Roman"/>
          <w:color w:val="000000" w:themeColor="text1"/>
          <w:sz w:val="24"/>
          <w:szCs w:val="24"/>
        </w:rPr>
        <w:t>.</w:t>
      </w:r>
      <w:r w:rsidR="002349B8">
        <w:rPr>
          <w:rFonts w:ascii="Times New Roman" w:hAnsi="Times New Roman" w:cs="Times New Roman"/>
          <w:color w:val="000000" w:themeColor="text1"/>
          <w:sz w:val="24"/>
          <w:szCs w:val="24"/>
        </w:rPr>
        <w:t xml:space="preserve">” “Necessary” is generally understood to mean something that cannot be done without, </w:t>
      </w:r>
      <w:r w:rsidR="00AF0E35">
        <w:rPr>
          <w:rFonts w:ascii="Times New Roman" w:hAnsi="Times New Roman" w:cs="Times New Roman"/>
          <w:color w:val="000000" w:themeColor="text1"/>
          <w:sz w:val="24"/>
          <w:szCs w:val="24"/>
        </w:rPr>
        <w:t>while “Proper” in this context generally refers to what is suitable or appropriate. In contrast, the best that can be said of the Bank of the United States is that it is merely convenient or useful. But as we have already seen, Section 8 of Article 1 permits Congress to perform many of the same functions as a bank, thus decisively putting to rest any notion of the Bank’s purported necessity. Additionally, the number of state banks that could easily fulfill the same purpose as the Bank only casts further doubt on its constitutionality.</w:t>
      </w:r>
    </w:p>
    <w:p w14:paraId="7451D5DE" w14:textId="624DECC6" w:rsidR="007C501E" w:rsidRDefault="00D71DAB" w:rsidP="00DA420B">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But let us concede for the sake of argument that Congress does indeed have the power to charter a bank. Does this preclude the state of Maryland from imposing a tax on the revenues the bank generates? While there are a variety of sources and lines of logic one could employ to arrive at an answer to this question of “No,” </w:t>
      </w:r>
      <w:r w:rsidR="00682614">
        <w:rPr>
          <w:rFonts w:ascii="Times New Roman" w:hAnsi="Times New Roman" w:cs="Times New Roman"/>
          <w:color w:val="000000" w:themeColor="text1"/>
          <w:sz w:val="24"/>
          <w:szCs w:val="24"/>
        </w:rPr>
        <w:t>two</w:t>
      </w:r>
      <w:r>
        <w:rPr>
          <w:rFonts w:ascii="Times New Roman" w:hAnsi="Times New Roman" w:cs="Times New Roman"/>
          <w:color w:val="000000" w:themeColor="text1"/>
          <w:sz w:val="24"/>
          <w:szCs w:val="24"/>
        </w:rPr>
        <w:t xml:space="preserve"> will be examined here: 1.) the powers and sovereignty reserved to the states (including the power to tax)</w:t>
      </w:r>
      <w:r w:rsidR="00682614">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the co-equal authority of the state and federal governments in raising revenue, and </w:t>
      </w:r>
      <w:r w:rsidR="00682614">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the conceivable consequences likely to prevail should the federal government have its way.</w:t>
      </w:r>
    </w:p>
    <w:p w14:paraId="718F5D2C" w14:textId="78B51F8B" w:rsidR="00A32FCF" w:rsidRDefault="008C1D18" w:rsidP="00DA420B">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elaborating on the first of these lines of reason, </w:t>
      </w:r>
      <w:r w:rsidR="007C501E">
        <w:rPr>
          <w:rFonts w:ascii="Times New Roman" w:hAnsi="Times New Roman" w:cs="Times New Roman"/>
          <w:color w:val="000000" w:themeColor="text1"/>
          <w:sz w:val="24"/>
          <w:szCs w:val="24"/>
        </w:rPr>
        <w:t xml:space="preserve">requires us to turn first to </w:t>
      </w:r>
      <w:r w:rsidR="00ED6D8E">
        <w:rPr>
          <w:rFonts w:ascii="Times New Roman" w:hAnsi="Times New Roman" w:cs="Times New Roman"/>
          <w:color w:val="000000" w:themeColor="text1"/>
          <w:sz w:val="24"/>
          <w:szCs w:val="24"/>
        </w:rPr>
        <w:t>the 10</w:t>
      </w:r>
      <w:r w:rsidR="00ED6D8E" w:rsidRPr="00ED6D8E">
        <w:rPr>
          <w:rFonts w:ascii="Times New Roman" w:hAnsi="Times New Roman" w:cs="Times New Roman"/>
          <w:color w:val="000000" w:themeColor="text1"/>
          <w:sz w:val="24"/>
          <w:szCs w:val="24"/>
          <w:vertAlign w:val="superscript"/>
        </w:rPr>
        <w:t>th</w:t>
      </w:r>
      <w:r w:rsidR="00ED6D8E">
        <w:rPr>
          <w:rFonts w:ascii="Times New Roman" w:hAnsi="Times New Roman" w:cs="Times New Roman"/>
          <w:color w:val="000000" w:themeColor="text1"/>
          <w:sz w:val="24"/>
          <w:szCs w:val="24"/>
        </w:rPr>
        <w:t xml:space="preserve"> Amendment as well as </w:t>
      </w:r>
      <w:r w:rsidR="007C501E">
        <w:rPr>
          <w:rFonts w:ascii="Times New Roman" w:hAnsi="Times New Roman" w:cs="Times New Roman"/>
          <w:color w:val="000000" w:themeColor="text1"/>
          <w:sz w:val="24"/>
          <w:szCs w:val="24"/>
        </w:rPr>
        <w:t>Section 10 of Article 1.</w:t>
      </w:r>
      <w:r w:rsidR="00ED6D8E">
        <w:rPr>
          <w:rFonts w:ascii="Times New Roman" w:hAnsi="Times New Roman" w:cs="Times New Roman"/>
          <w:color w:val="000000" w:themeColor="text1"/>
          <w:sz w:val="24"/>
          <w:szCs w:val="24"/>
        </w:rPr>
        <w:t xml:space="preserve"> The 10</w:t>
      </w:r>
      <w:r w:rsidR="00ED6D8E" w:rsidRPr="00ED6D8E">
        <w:rPr>
          <w:rFonts w:ascii="Times New Roman" w:hAnsi="Times New Roman" w:cs="Times New Roman"/>
          <w:color w:val="000000" w:themeColor="text1"/>
          <w:sz w:val="24"/>
          <w:szCs w:val="24"/>
          <w:vertAlign w:val="superscript"/>
        </w:rPr>
        <w:t>th</w:t>
      </w:r>
      <w:r w:rsidR="00ED6D8E">
        <w:rPr>
          <w:rFonts w:ascii="Times New Roman" w:hAnsi="Times New Roman" w:cs="Times New Roman"/>
          <w:color w:val="000000" w:themeColor="text1"/>
          <w:sz w:val="24"/>
          <w:szCs w:val="24"/>
        </w:rPr>
        <w:t xml:space="preserve"> Amendment makes it clear in no uncertain terms that “</w:t>
      </w:r>
      <w:r w:rsidR="00ED6D8E" w:rsidRPr="00ED6D8E">
        <w:rPr>
          <w:rFonts w:ascii="Times New Roman" w:hAnsi="Times New Roman" w:cs="Times New Roman"/>
          <w:color w:val="000000" w:themeColor="text1"/>
          <w:sz w:val="24"/>
          <w:szCs w:val="24"/>
        </w:rPr>
        <w:t xml:space="preserve">The powers not delegated to the United States by the Constitution, nor </w:t>
      </w:r>
      <w:r w:rsidR="00ED6D8E" w:rsidRPr="00ED6D8E">
        <w:rPr>
          <w:rFonts w:ascii="Times New Roman" w:hAnsi="Times New Roman" w:cs="Times New Roman"/>
          <w:color w:val="000000" w:themeColor="text1"/>
          <w:sz w:val="24"/>
          <w:szCs w:val="24"/>
        </w:rPr>
        <w:lastRenderedPageBreak/>
        <w:t>prohibited by it to the States, are reserved to the States respectively, or to the people.</w:t>
      </w:r>
      <w:r w:rsidR="00ED6D8E">
        <w:rPr>
          <w:rFonts w:ascii="Times New Roman" w:hAnsi="Times New Roman" w:cs="Times New Roman"/>
          <w:color w:val="000000" w:themeColor="text1"/>
          <w:sz w:val="24"/>
          <w:szCs w:val="24"/>
        </w:rPr>
        <w:t>”</w:t>
      </w:r>
      <w:r w:rsidR="00BA6358">
        <w:rPr>
          <w:rStyle w:val="FootnoteReference"/>
          <w:rFonts w:ascii="Times New Roman" w:hAnsi="Times New Roman" w:cs="Times New Roman"/>
          <w:color w:val="000000" w:themeColor="text1"/>
          <w:sz w:val="24"/>
          <w:szCs w:val="24"/>
        </w:rPr>
        <w:footnoteReference w:id="6"/>
      </w:r>
      <w:r w:rsidR="007C501E">
        <w:rPr>
          <w:rFonts w:ascii="Times New Roman" w:hAnsi="Times New Roman" w:cs="Times New Roman"/>
          <w:color w:val="000000" w:themeColor="text1"/>
          <w:sz w:val="24"/>
          <w:szCs w:val="24"/>
        </w:rPr>
        <w:t xml:space="preserve"> In Section 10 of Article 1, we find a number of actions prohibited to the states, such as the coining of money and using anything apart from either gold or silver coin to pay debts</w:t>
      </w:r>
      <w:r w:rsidR="00BA6358">
        <w:rPr>
          <w:rStyle w:val="FootnoteReference"/>
          <w:rFonts w:ascii="Times New Roman" w:hAnsi="Times New Roman" w:cs="Times New Roman"/>
          <w:color w:val="000000" w:themeColor="text1"/>
          <w:sz w:val="24"/>
          <w:szCs w:val="24"/>
        </w:rPr>
        <w:footnoteReference w:id="7"/>
      </w:r>
      <w:r w:rsidR="007C501E">
        <w:rPr>
          <w:rFonts w:ascii="Times New Roman" w:hAnsi="Times New Roman" w:cs="Times New Roman"/>
          <w:color w:val="000000" w:themeColor="text1"/>
          <w:sz w:val="24"/>
          <w:szCs w:val="24"/>
        </w:rPr>
        <w:t>, but nowhere do we find a clause prohibiting states from taxing corporations created by congress, to say nothing</w:t>
      </w:r>
      <w:r w:rsidR="00ED6D8E">
        <w:rPr>
          <w:rFonts w:ascii="Times New Roman" w:hAnsi="Times New Roman" w:cs="Times New Roman"/>
          <w:color w:val="000000" w:themeColor="text1"/>
          <w:sz w:val="24"/>
          <w:szCs w:val="24"/>
        </w:rPr>
        <w:t xml:space="preserve"> of a clause prohibiting the states from taxing a bank created by Congress. What do these clauses tell us?</w:t>
      </w:r>
      <w:r w:rsidR="001D75C3">
        <w:rPr>
          <w:rFonts w:ascii="Times New Roman" w:hAnsi="Times New Roman" w:cs="Times New Roman"/>
          <w:color w:val="000000" w:themeColor="text1"/>
          <w:sz w:val="24"/>
          <w:szCs w:val="24"/>
        </w:rPr>
        <w:t xml:space="preserve"> Well, Federalist 32 tells us that the Constitution will strip the states of none of their pre-existing sovereignty, with three exceptions: 1.) where the Constitution gives exclusive authority to the federal government (such as writing bankruptcy laws); 2.) where the Constitution gives authority to the federal government and prohibits the states from exercising like authority (such as in the instance of coining money); and 3.) where an action taken by the federal government, if the same were taken by the states, would produce a result “CONTRADICTORY and REPUGNANT” to the Constitution</w:t>
      </w:r>
      <w:r w:rsidR="00705523">
        <w:rPr>
          <w:rStyle w:val="FootnoteReference"/>
          <w:rFonts w:ascii="Times New Roman" w:hAnsi="Times New Roman" w:cs="Times New Roman"/>
          <w:color w:val="000000" w:themeColor="text1"/>
          <w:sz w:val="24"/>
          <w:szCs w:val="24"/>
        </w:rPr>
        <w:footnoteReference w:id="8"/>
      </w:r>
      <w:r w:rsidR="001D75C3">
        <w:rPr>
          <w:rFonts w:ascii="Times New Roman" w:hAnsi="Times New Roman" w:cs="Times New Roman"/>
          <w:color w:val="000000" w:themeColor="text1"/>
          <w:sz w:val="24"/>
          <w:szCs w:val="24"/>
        </w:rPr>
        <w:t>. As we have already seen, the first prohibition is not applicable here since, even if we grant Congress’ authority to charter to charter the bank</w:t>
      </w:r>
      <w:r w:rsidR="00A32FCF">
        <w:rPr>
          <w:rFonts w:ascii="Times New Roman" w:hAnsi="Times New Roman" w:cs="Times New Roman"/>
          <w:color w:val="000000" w:themeColor="text1"/>
          <w:sz w:val="24"/>
          <w:szCs w:val="24"/>
        </w:rPr>
        <w:t>, this is also an authority held by the states. The second prohibition is similarly inapplicable on account of the lack of a clause or course of logic that could be construed to prohibit states from chartering banks. This leaves only the third prohibition, the exemption to which in this case requires us to examine the tax itself and the powers reserved to the states.</w:t>
      </w:r>
    </w:p>
    <w:p w14:paraId="7F5FC32C" w14:textId="1E391890" w:rsidR="008C1D18" w:rsidRDefault="00391E48" w:rsidP="008C1D18">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tax itself empowers the state of Maryland to </w:t>
      </w:r>
      <w:r w:rsidR="001019E0">
        <w:rPr>
          <w:rFonts w:ascii="Times New Roman" w:hAnsi="Times New Roman" w:cs="Times New Roman"/>
          <w:color w:val="000000" w:themeColor="text1"/>
          <w:sz w:val="24"/>
          <w:szCs w:val="24"/>
        </w:rPr>
        <w:t xml:space="preserve">collect a tax amounting to either $15,000 or between one and two percent of the value of each bill </w:t>
      </w:r>
      <w:r w:rsidR="00E57187">
        <w:rPr>
          <w:rFonts w:ascii="Times New Roman" w:hAnsi="Times New Roman" w:cs="Times New Roman"/>
          <w:color w:val="000000" w:themeColor="text1"/>
          <w:sz w:val="24"/>
          <w:szCs w:val="24"/>
        </w:rPr>
        <w:t xml:space="preserve">(the exact percentage varies by bill) </w:t>
      </w:r>
      <w:r w:rsidR="001019E0">
        <w:rPr>
          <w:rFonts w:ascii="Times New Roman" w:hAnsi="Times New Roman" w:cs="Times New Roman"/>
          <w:color w:val="000000" w:themeColor="text1"/>
          <w:sz w:val="24"/>
          <w:szCs w:val="24"/>
        </w:rPr>
        <w:t>held by any banking corporation not incorporated in the state of Maryland</w:t>
      </w:r>
      <w:r w:rsidR="002E2C91">
        <w:rPr>
          <w:rStyle w:val="FootnoteReference"/>
          <w:rFonts w:ascii="Times New Roman" w:hAnsi="Times New Roman" w:cs="Times New Roman"/>
          <w:color w:val="000000" w:themeColor="text1"/>
          <w:sz w:val="24"/>
          <w:szCs w:val="24"/>
        </w:rPr>
        <w:footnoteReference w:id="9"/>
      </w:r>
      <w:r w:rsidR="001019E0">
        <w:rPr>
          <w:rFonts w:ascii="Times New Roman" w:hAnsi="Times New Roman" w:cs="Times New Roman"/>
          <w:color w:val="000000" w:themeColor="text1"/>
          <w:sz w:val="24"/>
          <w:szCs w:val="24"/>
        </w:rPr>
        <w:t xml:space="preserve">. </w:t>
      </w:r>
      <w:r w:rsidR="00E57187">
        <w:rPr>
          <w:rFonts w:ascii="Times New Roman" w:hAnsi="Times New Roman" w:cs="Times New Roman"/>
          <w:color w:val="000000" w:themeColor="text1"/>
          <w:sz w:val="24"/>
          <w:szCs w:val="24"/>
        </w:rPr>
        <w:t xml:space="preserve">Given the amount of money handled by the Bank of the United States, it should not be a controversial </w:t>
      </w:r>
      <w:r w:rsidR="00E57187">
        <w:rPr>
          <w:rFonts w:ascii="Times New Roman" w:hAnsi="Times New Roman" w:cs="Times New Roman"/>
          <w:color w:val="000000" w:themeColor="text1"/>
          <w:sz w:val="24"/>
          <w:szCs w:val="24"/>
        </w:rPr>
        <w:lastRenderedPageBreak/>
        <w:t>statement to point out that the amount of the tax itself actually quite minimal, showing significant restraint on the part of the state legislature not to impede the function of the bank.</w:t>
      </w:r>
      <w:r w:rsidR="002E2C91">
        <w:rPr>
          <w:rFonts w:ascii="Times New Roman" w:hAnsi="Times New Roman" w:cs="Times New Roman"/>
          <w:color w:val="000000" w:themeColor="text1"/>
          <w:sz w:val="24"/>
          <w:szCs w:val="24"/>
        </w:rPr>
        <w:t xml:space="preserve"> The charge that the state could hypothetically make the tax ruinously expensive is negated by the </w:t>
      </w:r>
      <w:r w:rsidR="00BA6161">
        <w:rPr>
          <w:rFonts w:ascii="Times New Roman" w:hAnsi="Times New Roman" w:cs="Times New Roman"/>
          <w:color w:val="000000" w:themeColor="text1"/>
          <w:sz w:val="24"/>
          <w:szCs w:val="24"/>
        </w:rPr>
        <w:t xml:space="preserve">fact that this is not the tax here before us. If the state later decides to increase the tax to an unduly burdensome level, that is a different case for a different day. </w:t>
      </w:r>
      <w:r w:rsidR="00682614">
        <w:rPr>
          <w:rFonts w:ascii="Times New Roman" w:hAnsi="Times New Roman" w:cs="Times New Roman"/>
          <w:color w:val="000000" w:themeColor="text1"/>
          <w:sz w:val="24"/>
          <w:szCs w:val="24"/>
        </w:rPr>
        <w:t xml:space="preserve">The more important principle here is that the power to tax is among the most fundamental powers the states have. </w:t>
      </w:r>
      <w:r w:rsidR="002E2C91">
        <w:rPr>
          <w:rFonts w:ascii="Times New Roman" w:hAnsi="Times New Roman" w:cs="Times New Roman"/>
          <w:color w:val="000000" w:themeColor="text1"/>
          <w:sz w:val="24"/>
          <w:szCs w:val="24"/>
        </w:rPr>
        <w:t>Furthermore, the tax is being collected to help the state repay the substantial debt it incurred during the War of 1812, and removing the state’s power to tax the bank, the federal government is all but condemning Maryland to be in debt for all eternity.</w:t>
      </w:r>
    </w:p>
    <w:p w14:paraId="0F7017EB" w14:textId="47032CDC" w:rsidR="00682614" w:rsidRDefault="00682614" w:rsidP="008C1D18">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Beyond this, if the court does not preserve the inherent power of the states to regulate and tax, what is to stop other similarly fundamental powers of the states from being </w:t>
      </w:r>
      <w:proofErr w:type="spellStart"/>
      <w:r>
        <w:rPr>
          <w:rFonts w:ascii="Times New Roman" w:hAnsi="Times New Roman" w:cs="Times New Roman"/>
          <w:color w:val="000000" w:themeColor="text1"/>
          <w:sz w:val="24"/>
          <w:szCs w:val="24"/>
        </w:rPr>
        <w:t>striped</w:t>
      </w:r>
      <w:proofErr w:type="spellEnd"/>
      <w:r>
        <w:rPr>
          <w:rFonts w:ascii="Times New Roman" w:hAnsi="Times New Roman" w:cs="Times New Roman"/>
          <w:color w:val="000000" w:themeColor="text1"/>
          <w:sz w:val="24"/>
          <w:szCs w:val="24"/>
        </w:rPr>
        <w:t xml:space="preserve"> from them? The answer is that there is nothing stopping this from occurring, and the powers the states have will be at the whim of the national government.</w:t>
      </w:r>
    </w:p>
    <w:p w14:paraId="5FDCC691" w14:textId="01C4632C" w:rsidR="00682614" w:rsidRDefault="00682614" w:rsidP="008C1D18">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short, the power to tax may well be the power to </w:t>
      </w:r>
      <w:proofErr w:type="gramStart"/>
      <w:r>
        <w:rPr>
          <w:rFonts w:ascii="Times New Roman" w:hAnsi="Times New Roman" w:cs="Times New Roman"/>
          <w:color w:val="000000" w:themeColor="text1"/>
          <w:sz w:val="24"/>
          <w:szCs w:val="24"/>
        </w:rPr>
        <w:t>destroy, but</w:t>
      </w:r>
      <w:proofErr w:type="gramEnd"/>
      <w:r>
        <w:rPr>
          <w:rFonts w:ascii="Times New Roman" w:hAnsi="Times New Roman" w:cs="Times New Roman"/>
          <w:color w:val="000000" w:themeColor="text1"/>
          <w:sz w:val="24"/>
          <w:szCs w:val="24"/>
        </w:rPr>
        <w:t xml:space="preserve"> removing the power to tax is to destroy the state.</w:t>
      </w:r>
    </w:p>
    <w:p w14:paraId="661D46CE" w14:textId="0C32330B" w:rsidR="00CD7B39" w:rsidRDefault="00CD7B39" w:rsidP="008C1D18">
      <w:pPr>
        <w:spacing w:after="0" w:line="480" w:lineRule="auto"/>
        <w:ind w:firstLine="720"/>
        <w:rPr>
          <w:rFonts w:ascii="Times New Roman" w:hAnsi="Times New Roman" w:cs="Times New Roman"/>
          <w:color w:val="000000" w:themeColor="text1"/>
          <w:sz w:val="24"/>
          <w:szCs w:val="24"/>
        </w:rPr>
      </w:pPr>
    </w:p>
    <w:p w14:paraId="7CDCEE2E" w14:textId="42AA5BF6" w:rsidR="00CD7B39" w:rsidRDefault="00CD7B39" w:rsidP="008C1D18">
      <w:pPr>
        <w:spacing w:after="0" w:line="480" w:lineRule="auto"/>
        <w:ind w:firstLine="720"/>
        <w:rPr>
          <w:rFonts w:ascii="Times New Roman" w:hAnsi="Times New Roman" w:cs="Times New Roman"/>
          <w:color w:val="000000" w:themeColor="text1"/>
          <w:sz w:val="24"/>
          <w:szCs w:val="24"/>
        </w:rPr>
      </w:pPr>
    </w:p>
    <w:p w14:paraId="1C96D2F2" w14:textId="61275AF0" w:rsidR="00CD7B39" w:rsidRDefault="00CD7B39" w:rsidP="008C1D18">
      <w:pPr>
        <w:spacing w:after="0" w:line="480" w:lineRule="auto"/>
        <w:ind w:firstLine="720"/>
        <w:rPr>
          <w:rFonts w:ascii="Times New Roman" w:hAnsi="Times New Roman" w:cs="Times New Roman"/>
          <w:color w:val="000000" w:themeColor="text1"/>
          <w:sz w:val="24"/>
          <w:szCs w:val="24"/>
        </w:rPr>
      </w:pPr>
    </w:p>
    <w:p w14:paraId="3DD89EE6" w14:textId="7E065D08" w:rsidR="00CD7B39" w:rsidRDefault="00CD7B39" w:rsidP="00CD7B3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776486">
        <w:rPr>
          <w:rFonts w:ascii="Times New Roman" w:hAnsi="Times New Roman" w:cs="Times New Roman"/>
          <w:color w:val="000000" w:themeColor="text1"/>
          <w:sz w:val="24"/>
          <w:szCs w:val="24"/>
        </w:rPr>
        <w:t>215</w:t>
      </w:r>
      <w:bookmarkStart w:id="0" w:name="_GoBack"/>
      <w:bookmarkEnd w:id="0"/>
      <w:r>
        <w:rPr>
          <w:rFonts w:ascii="Times New Roman" w:hAnsi="Times New Roman" w:cs="Times New Roman"/>
          <w:color w:val="000000" w:themeColor="text1"/>
          <w:sz w:val="24"/>
          <w:szCs w:val="24"/>
        </w:rPr>
        <w:t xml:space="preserve"> words</w:t>
      </w:r>
    </w:p>
    <w:sectPr w:rsidR="00CD7B39" w:rsidSect="00F56F55">
      <w:footerReference w:type="default" r:id="rId8"/>
      <w:pgSz w:w="12240" w:h="15840"/>
      <w:pgMar w:top="1440" w:right="1440" w:bottom="1440" w:left="1440" w:header="720" w:footer="720"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2064" w14:textId="77777777" w:rsidR="00005783" w:rsidRDefault="00005783" w:rsidP="00ED6D8E">
      <w:pPr>
        <w:spacing w:after="0" w:line="240" w:lineRule="auto"/>
      </w:pPr>
      <w:r>
        <w:separator/>
      </w:r>
    </w:p>
  </w:endnote>
  <w:endnote w:type="continuationSeparator" w:id="0">
    <w:p w14:paraId="1C7E9B9B" w14:textId="77777777" w:rsidR="00005783" w:rsidRDefault="00005783" w:rsidP="00E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43F91" w14:textId="5B79BC8C" w:rsidR="00934531" w:rsidRDefault="00005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1FB2" w14:textId="77777777" w:rsidR="00005783" w:rsidRDefault="00005783" w:rsidP="00ED6D8E">
      <w:pPr>
        <w:spacing w:after="0" w:line="240" w:lineRule="auto"/>
      </w:pPr>
      <w:r>
        <w:separator/>
      </w:r>
    </w:p>
  </w:footnote>
  <w:footnote w:type="continuationSeparator" w:id="0">
    <w:p w14:paraId="2844604D" w14:textId="77777777" w:rsidR="00005783" w:rsidRDefault="00005783" w:rsidP="00ED6D8E">
      <w:pPr>
        <w:spacing w:after="0" w:line="240" w:lineRule="auto"/>
      </w:pPr>
      <w:r>
        <w:continuationSeparator/>
      </w:r>
    </w:p>
  </w:footnote>
  <w:footnote w:id="1">
    <w:p w14:paraId="6610A7A4" w14:textId="58641B81" w:rsidR="00E57187" w:rsidRDefault="00E57187">
      <w:pPr>
        <w:pStyle w:val="FootnoteText"/>
      </w:pPr>
      <w:r>
        <w:rPr>
          <w:rStyle w:val="FootnoteReference"/>
        </w:rPr>
        <w:footnoteRef/>
      </w:r>
      <w:r>
        <w:t xml:space="preserve"> </w:t>
      </w:r>
      <w:r w:rsidRPr="00E57187">
        <w:t xml:space="preserve">[Article] U.S. Const. art. </w:t>
      </w:r>
      <w:r>
        <w:t>1</w:t>
      </w:r>
      <w:r w:rsidRPr="00E57187">
        <w:t xml:space="preserve">. sec. </w:t>
      </w:r>
      <w:r>
        <w:t>8</w:t>
      </w:r>
      <w:r w:rsidRPr="00E57187">
        <w:t>. cl. 1.</w:t>
      </w:r>
    </w:p>
  </w:footnote>
  <w:footnote w:id="2">
    <w:p w14:paraId="457E237B" w14:textId="0579B309" w:rsidR="00E57187" w:rsidRDefault="00E57187">
      <w:pPr>
        <w:pStyle w:val="FootnoteText"/>
      </w:pPr>
      <w:r>
        <w:rPr>
          <w:rStyle w:val="FootnoteReference"/>
        </w:rPr>
        <w:footnoteRef/>
      </w:r>
      <w:r>
        <w:t xml:space="preserve"> </w:t>
      </w:r>
      <w:r w:rsidRPr="00E57187">
        <w:t xml:space="preserve">[Article] U.S. Const. art. </w:t>
      </w:r>
      <w:r>
        <w:t>1</w:t>
      </w:r>
      <w:r w:rsidRPr="00E57187">
        <w:t xml:space="preserve">. sec. </w:t>
      </w:r>
      <w:r>
        <w:t>8</w:t>
      </w:r>
      <w:r w:rsidRPr="00E57187">
        <w:t xml:space="preserve">. cl. </w:t>
      </w:r>
      <w:r>
        <w:t>2</w:t>
      </w:r>
      <w:r w:rsidRPr="00E57187">
        <w:t>.</w:t>
      </w:r>
    </w:p>
  </w:footnote>
  <w:footnote w:id="3">
    <w:p w14:paraId="25CA3FE9" w14:textId="3867108F" w:rsidR="00E57187" w:rsidRDefault="00E57187">
      <w:pPr>
        <w:pStyle w:val="FootnoteText"/>
      </w:pPr>
      <w:r>
        <w:rPr>
          <w:rStyle w:val="FootnoteReference"/>
        </w:rPr>
        <w:footnoteRef/>
      </w:r>
      <w:r>
        <w:t xml:space="preserve"> </w:t>
      </w:r>
      <w:r w:rsidRPr="00E57187">
        <w:t xml:space="preserve">[Article] U.S. Const. art. </w:t>
      </w:r>
      <w:r>
        <w:t>1</w:t>
      </w:r>
      <w:r w:rsidRPr="00E57187">
        <w:t xml:space="preserve">. sec. </w:t>
      </w:r>
      <w:r>
        <w:t>8</w:t>
      </w:r>
      <w:r w:rsidRPr="00E57187">
        <w:t xml:space="preserve">. cl. </w:t>
      </w:r>
      <w:r>
        <w:t>3</w:t>
      </w:r>
      <w:r w:rsidRPr="00E57187">
        <w:t>.</w:t>
      </w:r>
      <w:r>
        <w:t xml:space="preserve"> </w:t>
      </w:r>
    </w:p>
  </w:footnote>
  <w:footnote w:id="4">
    <w:p w14:paraId="1F7F0D78" w14:textId="5B800217" w:rsidR="00E57187" w:rsidRDefault="00E57187">
      <w:pPr>
        <w:pStyle w:val="FootnoteText"/>
      </w:pPr>
      <w:r>
        <w:rPr>
          <w:rStyle w:val="FootnoteReference"/>
        </w:rPr>
        <w:footnoteRef/>
      </w:r>
      <w:r>
        <w:t xml:space="preserve"> </w:t>
      </w:r>
      <w:r w:rsidRPr="00E57187">
        <w:t xml:space="preserve">[Article] U.S. Const. art. </w:t>
      </w:r>
      <w:r>
        <w:t>1</w:t>
      </w:r>
      <w:r w:rsidRPr="00E57187">
        <w:t xml:space="preserve">. sec. </w:t>
      </w:r>
      <w:r>
        <w:t>8</w:t>
      </w:r>
      <w:r w:rsidRPr="00E57187">
        <w:t xml:space="preserve">. cl. </w:t>
      </w:r>
      <w:r>
        <w:t>5</w:t>
      </w:r>
      <w:r w:rsidRPr="00E57187">
        <w:t>.</w:t>
      </w:r>
    </w:p>
  </w:footnote>
  <w:footnote w:id="5">
    <w:p w14:paraId="6FD851B7" w14:textId="7DC093BA" w:rsidR="00BA6358" w:rsidRDefault="00BA6358">
      <w:pPr>
        <w:pStyle w:val="FootnoteText"/>
      </w:pPr>
      <w:r>
        <w:rPr>
          <w:rStyle w:val="FootnoteReference"/>
        </w:rPr>
        <w:footnoteRef/>
      </w:r>
      <w:r>
        <w:t xml:space="preserve"> </w:t>
      </w:r>
      <w:r w:rsidRPr="00E57187">
        <w:t xml:space="preserve">[Article] U.S. Const. art. </w:t>
      </w:r>
      <w:r>
        <w:t>1</w:t>
      </w:r>
      <w:r w:rsidRPr="00E57187">
        <w:t xml:space="preserve">. sec. </w:t>
      </w:r>
      <w:r>
        <w:t>8</w:t>
      </w:r>
      <w:r w:rsidRPr="00E57187">
        <w:t xml:space="preserve">. cl. </w:t>
      </w:r>
      <w:r>
        <w:t>18</w:t>
      </w:r>
      <w:r w:rsidRPr="00E57187">
        <w:t>.</w:t>
      </w:r>
    </w:p>
  </w:footnote>
  <w:footnote w:id="6">
    <w:p w14:paraId="20988317" w14:textId="4ED06ED0" w:rsidR="00BA6358" w:rsidRDefault="00BA6358">
      <w:pPr>
        <w:pStyle w:val="FootnoteText"/>
      </w:pPr>
      <w:r>
        <w:rPr>
          <w:rStyle w:val="FootnoteReference"/>
        </w:rPr>
        <w:footnoteRef/>
      </w:r>
      <w:r>
        <w:t xml:space="preserve"> </w:t>
      </w:r>
      <w:r w:rsidRPr="00BA6358">
        <w:t xml:space="preserve">[Amendment] U.S. Const. amend. </w:t>
      </w:r>
      <w:r>
        <w:t>X</w:t>
      </w:r>
      <w:r w:rsidRPr="00BA6358">
        <w:t>.</w:t>
      </w:r>
    </w:p>
  </w:footnote>
  <w:footnote w:id="7">
    <w:p w14:paraId="640307E7" w14:textId="53A01806" w:rsidR="00BA6358" w:rsidRDefault="00BA6358">
      <w:pPr>
        <w:pStyle w:val="FootnoteText"/>
      </w:pPr>
      <w:r>
        <w:rPr>
          <w:rStyle w:val="FootnoteReference"/>
        </w:rPr>
        <w:footnoteRef/>
      </w:r>
      <w:r>
        <w:t xml:space="preserve"> </w:t>
      </w:r>
      <w:r w:rsidRPr="00E57187">
        <w:t xml:space="preserve">[Article] U.S. Const. art. </w:t>
      </w:r>
      <w:r>
        <w:t>1</w:t>
      </w:r>
      <w:r w:rsidRPr="00E57187">
        <w:t xml:space="preserve">. sec. </w:t>
      </w:r>
      <w:r>
        <w:t>10</w:t>
      </w:r>
      <w:r w:rsidRPr="00E57187">
        <w:t>. cl. 1.</w:t>
      </w:r>
    </w:p>
  </w:footnote>
  <w:footnote w:id="8">
    <w:p w14:paraId="57880AE2" w14:textId="04C40585" w:rsidR="00705523" w:rsidRDefault="00705523">
      <w:pPr>
        <w:pStyle w:val="FootnoteText"/>
      </w:pPr>
      <w:r>
        <w:rPr>
          <w:rStyle w:val="FootnoteReference"/>
        </w:rPr>
        <w:footnoteRef/>
      </w:r>
      <w:r>
        <w:t xml:space="preserve"> Hamilton, Alexander, Federalist No. 32</w:t>
      </w:r>
    </w:p>
  </w:footnote>
  <w:footnote w:id="9">
    <w:p w14:paraId="3B722C5B" w14:textId="7D943630" w:rsidR="002E2C91" w:rsidRDefault="002E2C91">
      <w:pPr>
        <w:pStyle w:val="FootnoteText"/>
      </w:pPr>
      <w:r>
        <w:rPr>
          <w:rStyle w:val="FootnoteReference"/>
        </w:rPr>
        <w:footnoteRef/>
      </w:r>
      <w:r>
        <w:t xml:space="preserve"> </w:t>
      </w:r>
      <w:r w:rsidRPr="002E2C91">
        <w:rPr>
          <w:i/>
          <w:iCs/>
        </w:rPr>
        <w:t>McCullough v Maryland</w:t>
      </w:r>
      <w:r w:rsidRPr="002E2C91">
        <w:t xml:space="preserve"> </w:t>
      </w:r>
      <w:r>
        <w:t>17</w:t>
      </w:r>
      <w:r w:rsidRPr="002E2C91">
        <w:t xml:space="preserve"> U.S. </w:t>
      </w:r>
      <w:r>
        <w:t>316</w:t>
      </w:r>
      <w:r w:rsidRPr="002E2C91">
        <w:t xml:space="preserve"> (</w:t>
      </w:r>
      <w:r>
        <w:t>1819</w:t>
      </w:r>
      <w:r w:rsidRPr="002E2C91">
        <w:t>)</w:t>
      </w:r>
      <w:r>
        <w:t>, quoting the Maryland Statue at issue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D680CE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637D9"/>
    <w:multiLevelType w:val="multilevel"/>
    <w:tmpl w:val="2A009A1A"/>
    <w:lvl w:ilvl="0">
      <w:start w:val="1"/>
      <w:numFmt w:val="decimal"/>
      <w:lvlText w:val="%1)"/>
      <w:lvlJc w:val="right"/>
      <w:pPr>
        <w:ind w:left="72" w:hanging="72"/>
      </w:pPr>
      <w:rPr>
        <w:rFonts w:hint="default"/>
      </w:rPr>
    </w:lvl>
    <w:lvl w:ilvl="1">
      <w:start w:val="1"/>
      <w:numFmt w:val="lowerLetter"/>
      <w:lvlText w:val="%2)"/>
      <w:lvlJc w:val="right"/>
      <w:pPr>
        <w:ind w:left="360" w:hanging="72"/>
      </w:pPr>
      <w:rPr>
        <w:rFonts w:hint="default"/>
      </w:rPr>
    </w:lvl>
    <w:lvl w:ilvl="2">
      <w:start w:val="1"/>
      <w:numFmt w:val="lowerRoman"/>
      <w:lvlText w:val="%3)"/>
      <w:lvlJc w:val="right"/>
      <w:pPr>
        <w:ind w:left="648" w:hanging="72"/>
      </w:pPr>
      <w:rPr>
        <w:rFonts w:hint="default"/>
      </w:rPr>
    </w:lvl>
    <w:lvl w:ilvl="3">
      <w:start w:val="1"/>
      <w:numFmt w:val="decimal"/>
      <w:lvlText w:val="(%4)"/>
      <w:lvlJc w:val="right"/>
      <w:pPr>
        <w:ind w:left="936" w:hanging="72"/>
      </w:pPr>
      <w:rPr>
        <w:rFonts w:hint="default"/>
      </w:rPr>
    </w:lvl>
    <w:lvl w:ilvl="4">
      <w:start w:val="1"/>
      <w:numFmt w:val="lowerLetter"/>
      <w:lvlText w:val="(%5)"/>
      <w:lvlJc w:val="right"/>
      <w:pPr>
        <w:ind w:left="1224" w:hanging="72"/>
      </w:pPr>
      <w:rPr>
        <w:rFonts w:hint="default"/>
      </w:rPr>
    </w:lvl>
    <w:lvl w:ilvl="5">
      <w:start w:val="1"/>
      <w:numFmt w:val="lowerRoman"/>
      <w:lvlText w:val="(%6)"/>
      <w:lvlJc w:val="right"/>
      <w:pPr>
        <w:ind w:left="1512" w:hanging="72"/>
      </w:pPr>
      <w:rPr>
        <w:rFonts w:hint="default"/>
      </w:rPr>
    </w:lvl>
    <w:lvl w:ilvl="6">
      <w:start w:val="1"/>
      <w:numFmt w:val="decimal"/>
      <w:lvlText w:val="%7."/>
      <w:lvlJc w:val="right"/>
      <w:pPr>
        <w:ind w:left="1800" w:hanging="72"/>
      </w:pPr>
      <w:rPr>
        <w:rFonts w:hint="default"/>
      </w:rPr>
    </w:lvl>
    <w:lvl w:ilvl="7">
      <w:start w:val="1"/>
      <w:numFmt w:val="lowerLetter"/>
      <w:lvlText w:val="%8."/>
      <w:lvlJc w:val="right"/>
      <w:pPr>
        <w:ind w:left="2088" w:hanging="72"/>
      </w:pPr>
      <w:rPr>
        <w:rFonts w:hint="default"/>
      </w:rPr>
    </w:lvl>
    <w:lvl w:ilvl="8">
      <w:start w:val="1"/>
      <w:numFmt w:val="lowerRoman"/>
      <w:lvlText w:val="%9."/>
      <w:lvlJc w:val="right"/>
      <w:pPr>
        <w:ind w:left="2376" w:hanging="72"/>
      </w:pPr>
      <w:rPr>
        <w:rFonts w:hint="default"/>
      </w:rPr>
    </w:lvl>
  </w:abstractNum>
  <w:abstractNum w:abstractNumId="2" w15:restartNumberingAfterBreak="0">
    <w:nsid w:val="16DF0B2B"/>
    <w:multiLevelType w:val="multilevel"/>
    <w:tmpl w:val="2A009A1A"/>
    <w:lvl w:ilvl="0">
      <w:start w:val="1"/>
      <w:numFmt w:val="decimal"/>
      <w:lvlText w:val="%1)"/>
      <w:lvlJc w:val="right"/>
      <w:pPr>
        <w:ind w:left="72" w:hanging="72"/>
      </w:pPr>
      <w:rPr>
        <w:rFonts w:hint="default"/>
      </w:rPr>
    </w:lvl>
    <w:lvl w:ilvl="1">
      <w:start w:val="1"/>
      <w:numFmt w:val="lowerLetter"/>
      <w:lvlText w:val="%2)"/>
      <w:lvlJc w:val="right"/>
      <w:pPr>
        <w:ind w:left="360" w:hanging="72"/>
      </w:pPr>
      <w:rPr>
        <w:rFonts w:hint="default"/>
      </w:rPr>
    </w:lvl>
    <w:lvl w:ilvl="2">
      <w:start w:val="1"/>
      <w:numFmt w:val="lowerRoman"/>
      <w:lvlText w:val="%3)"/>
      <w:lvlJc w:val="right"/>
      <w:pPr>
        <w:ind w:left="648" w:hanging="72"/>
      </w:pPr>
      <w:rPr>
        <w:rFonts w:hint="default"/>
      </w:rPr>
    </w:lvl>
    <w:lvl w:ilvl="3">
      <w:start w:val="1"/>
      <w:numFmt w:val="decimal"/>
      <w:lvlText w:val="(%4)"/>
      <w:lvlJc w:val="right"/>
      <w:pPr>
        <w:ind w:left="936" w:hanging="72"/>
      </w:pPr>
      <w:rPr>
        <w:rFonts w:hint="default"/>
      </w:rPr>
    </w:lvl>
    <w:lvl w:ilvl="4">
      <w:start w:val="1"/>
      <w:numFmt w:val="lowerLetter"/>
      <w:lvlText w:val="(%5)"/>
      <w:lvlJc w:val="right"/>
      <w:pPr>
        <w:ind w:left="1224" w:hanging="72"/>
      </w:pPr>
      <w:rPr>
        <w:rFonts w:hint="default"/>
      </w:rPr>
    </w:lvl>
    <w:lvl w:ilvl="5">
      <w:start w:val="1"/>
      <w:numFmt w:val="lowerRoman"/>
      <w:lvlText w:val="(%6)"/>
      <w:lvlJc w:val="right"/>
      <w:pPr>
        <w:ind w:left="1512" w:hanging="72"/>
      </w:pPr>
      <w:rPr>
        <w:rFonts w:hint="default"/>
      </w:rPr>
    </w:lvl>
    <w:lvl w:ilvl="6">
      <w:start w:val="1"/>
      <w:numFmt w:val="decimal"/>
      <w:lvlText w:val="%7."/>
      <w:lvlJc w:val="right"/>
      <w:pPr>
        <w:ind w:left="1800" w:hanging="72"/>
      </w:pPr>
      <w:rPr>
        <w:rFonts w:hint="default"/>
      </w:rPr>
    </w:lvl>
    <w:lvl w:ilvl="7">
      <w:start w:val="1"/>
      <w:numFmt w:val="lowerLetter"/>
      <w:lvlText w:val="%8."/>
      <w:lvlJc w:val="right"/>
      <w:pPr>
        <w:ind w:left="2088" w:hanging="72"/>
      </w:pPr>
      <w:rPr>
        <w:rFonts w:hint="default"/>
      </w:rPr>
    </w:lvl>
    <w:lvl w:ilvl="8">
      <w:start w:val="1"/>
      <w:numFmt w:val="lowerRoman"/>
      <w:lvlText w:val="%9."/>
      <w:lvlJc w:val="right"/>
      <w:pPr>
        <w:ind w:left="2376" w:hanging="72"/>
      </w:pPr>
      <w:rPr>
        <w:rFont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20"/>
    <w:rsid w:val="00005783"/>
    <w:rsid w:val="00024864"/>
    <w:rsid w:val="000A45A0"/>
    <w:rsid w:val="001019E0"/>
    <w:rsid w:val="001D75C3"/>
    <w:rsid w:val="00201812"/>
    <w:rsid w:val="002349B8"/>
    <w:rsid w:val="002E2C91"/>
    <w:rsid w:val="00391E48"/>
    <w:rsid w:val="00527430"/>
    <w:rsid w:val="00625F2B"/>
    <w:rsid w:val="00682614"/>
    <w:rsid w:val="006F100C"/>
    <w:rsid w:val="006F6120"/>
    <w:rsid w:val="00705523"/>
    <w:rsid w:val="00713A1B"/>
    <w:rsid w:val="00776486"/>
    <w:rsid w:val="00782026"/>
    <w:rsid w:val="007C501E"/>
    <w:rsid w:val="008C1D18"/>
    <w:rsid w:val="00A32FCF"/>
    <w:rsid w:val="00A6792B"/>
    <w:rsid w:val="00AF0E35"/>
    <w:rsid w:val="00B433E2"/>
    <w:rsid w:val="00BA6161"/>
    <w:rsid w:val="00BA6358"/>
    <w:rsid w:val="00C13D65"/>
    <w:rsid w:val="00CD7B39"/>
    <w:rsid w:val="00CF4D70"/>
    <w:rsid w:val="00D45DE4"/>
    <w:rsid w:val="00D71DAB"/>
    <w:rsid w:val="00DA420B"/>
    <w:rsid w:val="00E57187"/>
    <w:rsid w:val="00ED6D8E"/>
    <w:rsid w:val="00F5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E699"/>
  <w14:defaultImageDpi w14:val="32767"/>
  <w15:chartTrackingRefBased/>
  <w15:docId w15:val="{AA6F99DC-F68E-5247-BC32-07B7F990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6120"/>
    <w:pPr>
      <w:spacing w:after="120" w:line="259" w:lineRule="auto"/>
    </w:pPr>
    <w:rPr>
      <w:color w:val="595959" w:themeColor="text1" w:themeTint="A6"/>
      <w:sz w:val="30"/>
      <w:szCs w:val="30"/>
      <w:lang w:eastAsia="ja-JP"/>
    </w:rPr>
  </w:style>
  <w:style w:type="paragraph" w:styleId="Heading2">
    <w:name w:val="heading 2"/>
    <w:basedOn w:val="Normal"/>
    <w:next w:val="Normal"/>
    <w:link w:val="Heading2Char"/>
    <w:uiPriority w:val="9"/>
    <w:unhideWhenUsed/>
    <w:qFormat/>
    <w:rsid w:val="006F6120"/>
    <w:pPr>
      <w:keepNext/>
      <w:keepLines/>
      <w:spacing w:before="460"/>
      <w:outlineLvl w:val="1"/>
    </w:pPr>
    <w:rPr>
      <w:rFonts w:asciiTheme="majorHAnsi" w:eastAsiaTheme="majorEastAsia" w:hAnsiTheme="majorHAnsi" w:cstheme="majorBidi"/>
      <w:b/>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rsid w:val="006F6120"/>
    <w:pPr>
      <w:numPr>
        <w:numId w:val="1"/>
      </w:numPr>
    </w:pPr>
  </w:style>
  <w:style w:type="character" w:customStyle="1" w:styleId="Heading2Char">
    <w:name w:val="Heading 2 Char"/>
    <w:basedOn w:val="DefaultParagraphFont"/>
    <w:link w:val="Heading2"/>
    <w:uiPriority w:val="9"/>
    <w:rsid w:val="006F6120"/>
    <w:rPr>
      <w:rFonts w:asciiTheme="majorHAnsi" w:eastAsiaTheme="majorEastAsia" w:hAnsiTheme="majorHAnsi" w:cstheme="majorBidi"/>
      <w:b/>
      <w:color w:val="7F7F7F" w:themeColor="text1" w:themeTint="80"/>
      <w:sz w:val="30"/>
      <w:szCs w:val="26"/>
      <w:lang w:eastAsia="ja-JP"/>
    </w:rPr>
  </w:style>
  <w:style w:type="paragraph" w:styleId="Footer">
    <w:name w:val="footer"/>
    <w:basedOn w:val="Normal"/>
    <w:link w:val="FooterChar"/>
    <w:uiPriority w:val="99"/>
    <w:unhideWhenUsed/>
    <w:qFormat/>
    <w:rsid w:val="006F6120"/>
    <w:pPr>
      <w:spacing w:after="0" w:line="240" w:lineRule="auto"/>
    </w:pPr>
  </w:style>
  <w:style w:type="character" w:customStyle="1" w:styleId="FooterChar">
    <w:name w:val="Footer Char"/>
    <w:basedOn w:val="DefaultParagraphFont"/>
    <w:link w:val="Footer"/>
    <w:uiPriority w:val="99"/>
    <w:rsid w:val="006F6120"/>
    <w:rPr>
      <w:color w:val="595959" w:themeColor="text1" w:themeTint="A6"/>
      <w:sz w:val="30"/>
      <w:szCs w:val="30"/>
      <w:lang w:eastAsia="ja-JP"/>
    </w:rPr>
  </w:style>
  <w:style w:type="paragraph" w:styleId="Header">
    <w:name w:val="header"/>
    <w:basedOn w:val="Normal"/>
    <w:link w:val="HeaderChar"/>
    <w:uiPriority w:val="99"/>
    <w:unhideWhenUsed/>
    <w:rsid w:val="00E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D8E"/>
    <w:rPr>
      <w:color w:val="595959" w:themeColor="text1" w:themeTint="A6"/>
      <w:sz w:val="30"/>
      <w:szCs w:val="30"/>
      <w:lang w:eastAsia="ja-JP"/>
    </w:rPr>
  </w:style>
  <w:style w:type="paragraph" w:styleId="FootnoteText">
    <w:name w:val="footnote text"/>
    <w:basedOn w:val="Normal"/>
    <w:link w:val="FootnoteTextChar"/>
    <w:uiPriority w:val="99"/>
    <w:semiHidden/>
    <w:unhideWhenUsed/>
    <w:rsid w:val="00E571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187"/>
    <w:rPr>
      <w:color w:val="595959" w:themeColor="text1" w:themeTint="A6"/>
      <w:sz w:val="20"/>
      <w:szCs w:val="20"/>
      <w:lang w:eastAsia="ja-JP"/>
    </w:rPr>
  </w:style>
  <w:style w:type="character" w:styleId="FootnoteReference">
    <w:name w:val="footnote reference"/>
    <w:basedOn w:val="DefaultParagraphFont"/>
    <w:uiPriority w:val="99"/>
    <w:semiHidden/>
    <w:unhideWhenUsed/>
    <w:rsid w:val="00E57187"/>
    <w:rPr>
      <w:vertAlign w:val="superscript"/>
    </w:rPr>
  </w:style>
  <w:style w:type="paragraph" w:styleId="EndnoteText">
    <w:name w:val="endnote text"/>
    <w:basedOn w:val="Normal"/>
    <w:link w:val="EndnoteTextChar"/>
    <w:uiPriority w:val="99"/>
    <w:semiHidden/>
    <w:unhideWhenUsed/>
    <w:rsid w:val="00E571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7187"/>
    <w:rPr>
      <w:color w:val="595959" w:themeColor="text1" w:themeTint="A6"/>
      <w:sz w:val="20"/>
      <w:szCs w:val="20"/>
      <w:lang w:eastAsia="ja-JP"/>
    </w:rPr>
  </w:style>
  <w:style w:type="character" w:styleId="EndnoteReference">
    <w:name w:val="endnote reference"/>
    <w:basedOn w:val="DefaultParagraphFont"/>
    <w:uiPriority w:val="99"/>
    <w:semiHidden/>
    <w:unhideWhenUsed/>
    <w:rsid w:val="00E571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6530">
      <w:bodyDiv w:val="1"/>
      <w:marLeft w:val="0"/>
      <w:marRight w:val="0"/>
      <w:marTop w:val="0"/>
      <w:marBottom w:val="0"/>
      <w:divBdr>
        <w:top w:val="none" w:sz="0" w:space="0" w:color="auto"/>
        <w:left w:val="none" w:sz="0" w:space="0" w:color="auto"/>
        <w:bottom w:val="none" w:sz="0" w:space="0" w:color="auto"/>
        <w:right w:val="none" w:sz="0" w:space="0" w:color="auto"/>
      </w:divBdr>
    </w:div>
    <w:div w:id="1281183682">
      <w:bodyDiv w:val="1"/>
      <w:marLeft w:val="0"/>
      <w:marRight w:val="0"/>
      <w:marTop w:val="0"/>
      <w:marBottom w:val="0"/>
      <w:divBdr>
        <w:top w:val="none" w:sz="0" w:space="0" w:color="auto"/>
        <w:left w:val="none" w:sz="0" w:space="0" w:color="auto"/>
        <w:bottom w:val="none" w:sz="0" w:space="0" w:color="auto"/>
        <w:right w:val="none" w:sz="0" w:space="0" w:color="auto"/>
      </w:divBdr>
      <w:divsChild>
        <w:div w:id="550272221">
          <w:marLeft w:val="0"/>
          <w:marRight w:val="0"/>
          <w:marTop w:val="0"/>
          <w:marBottom w:val="0"/>
          <w:divBdr>
            <w:top w:val="none" w:sz="0" w:space="0" w:color="auto"/>
            <w:left w:val="none" w:sz="0" w:space="0" w:color="auto"/>
            <w:bottom w:val="none" w:sz="0" w:space="0" w:color="auto"/>
            <w:right w:val="none" w:sz="0" w:space="0" w:color="auto"/>
          </w:divBdr>
          <w:divsChild>
            <w:div w:id="1939873354">
              <w:marLeft w:val="0"/>
              <w:marRight w:val="0"/>
              <w:marTop w:val="0"/>
              <w:marBottom w:val="0"/>
              <w:divBdr>
                <w:top w:val="none" w:sz="0" w:space="0" w:color="auto"/>
                <w:left w:val="none" w:sz="0" w:space="0" w:color="auto"/>
                <w:bottom w:val="none" w:sz="0" w:space="0" w:color="auto"/>
                <w:right w:val="none" w:sz="0" w:space="0" w:color="auto"/>
              </w:divBdr>
              <w:divsChild>
                <w:div w:id="8855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2C0191E-A226-1E48-8D20-4FF27609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Merdian, David, K</dc:creator>
  <cp:keywords/>
  <dc:description/>
  <cp:lastModifiedBy>Merdian, David, K</cp:lastModifiedBy>
  <cp:revision>9</cp:revision>
  <dcterms:created xsi:type="dcterms:W3CDTF">2019-10-04T03:14:00Z</dcterms:created>
  <dcterms:modified xsi:type="dcterms:W3CDTF">2019-12-11T19:56:00Z</dcterms:modified>
</cp:coreProperties>
</file>