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8E2A" w14:textId="77777777" w:rsidR="00E126D3" w:rsidRPr="00E8015E" w:rsidRDefault="00E126D3" w:rsidP="00E126D3">
      <w:pPr>
        <w:shd w:val="clear" w:color="auto" w:fill="FFFFFF"/>
        <w:spacing w:line="240" w:lineRule="auto"/>
        <w:ind w:firstLine="0"/>
        <w:jc w:val="center"/>
        <w:rPr>
          <w:rFonts w:eastAsia="Times New Roman"/>
          <w:spacing w:val="-1"/>
          <w:sz w:val="24"/>
          <w:szCs w:val="24"/>
          <w:lang w:eastAsia="ru-RU"/>
        </w:rPr>
      </w:pPr>
      <w:r w:rsidRPr="00E8015E">
        <w:rPr>
          <w:rFonts w:eastAsia="Times New Roman"/>
          <w:spacing w:val="-1"/>
          <w:sz w:val="24"/>
          <w:szCs w:val="24"/>
          <w:lang w:eastAsia="ru-RU"/>
        </w:rPr>
        <w:t>Министерство науки и высшего образования РФ</w:t>
      </w:r>
    </w:p>
    <w:p w14:paraId="3211A691" w14:textId="77777777" w:rsidR="00E126D3" w:rsidRPr="00E8015E" w:rsidRDefault="00E126D3" w:rsidP="00E126D3">
      <w:pPr>
        <w:shd w:val="clear" w:color="auto" w:fill="FFFFFF"/>
        <w:spacing w:line="240" w:lineRule="auto"/>
        <w:ind w:firstLine="0"/>
        <w:jc w:val="center"/>
        <w:rPr>
          <w:rFonts w:eastAsia="Times New Roman"/>
          <w:spacing w:val="-1"/>
          <w:sz w:val="24"/>
          <w:szCs w:val="24"/>
          <w:lang w:eastAsia="ru-RU"/>
        </w:rPr>
      </w:pPr>
    </w:p>
    <w:p w14:paraId="6A2FE330" w14:textId="77777777" w:rsidR="00E126D3" w:rsidRPr="00E8015E" w:rsidRDefault="00E126D3" w:rsidP="00E126D3">
      <w:pPr>
        <w:shd w:val="clear" w:color="auto" w:fill="FFFFFF"/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  <w:r w:rsidRPr="00E8015E">
        <w:rPr>
          <w:rFonts w:eastAsia="Times New Roman"/>
          <w:spacing w:val="-1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A2B9276" w14:textId="77777777" w:rsidR="00E126D3" w:rsidRPr="00E8015E" w:rsidRDefault="00E126D3" w:rsidP="00E126D3">
      <w:pPr>
        <w:shd w:val="clear" w:color="auto" w:fill="FFFFFF"/>
        <w:spacing w:line="240" w:lineRule="auto"/>
        <w:ind w:right="1997" w:firstLine="2088"/>
        <w:jc w:val="center"/>
        <w:rPr>
          <w:rFonts w:eastAsia="Times New Roman"/>
          <w:sz w:val="24"/>
          <w:szCs w:val="24"/>
          <w:lang w:eastAsia="ru-RU"/>
        </w:rPr>
      </w:pPr>
      <w:r w:rsidRPr="00E8015E">
        <w:rPr>
          <w:rFonts w:eastAsia="Times New Roman"/>
          <w:sz w:val="24"/>
          <w:szCs w:val="24"/>
          <w:lang w:eastAsia="ru-RU"/>
        </w:rPr>
        <w:t>высшего образования</w:t>
      </w:r>
    </w:p>
    <w:p w14:paraId="049E9389" w14:textId="77777777" w:rsidR="00E126D3" w:rsidRPr="00E8015E" w:rsidRDefault="00E126D3" w:rsidP="00E126D3">
      <w:pPr>
        <w:shd w:val="clear" w:color="auto" w:fill="FFFFFF"/>
        <w:spacing w:line="240" w:lineRule="auto"/>
        <w:ind w:right="-1" w:hanging="80"/>
        <w:jc w:val="center"/>
        <w:rPr>
          <w:rFonts w:eastAsia="Times New Roman"/>
          <w:sz w:val="24"/>
          <w:szCs w:val="24"/>
          <w:lang w:eastAsia="ru-RU"/>
        </w:rPr>
      </w:pPr>
      <w:r w:rsidRPr="00E8015E">
        <w:rPr>
          <w:rFonts w:eastAsia="Times New Roman"/>
          <w:spacing w:val="-1"/>
          <w:sz w:val="24"/>
          <w:szCs w:val="24"/>
          <w:lang w:eastAsia="ru-RU"/>
        </w:rPr>
        <w:t>«Новосибирский государственный технический университет»</w:t>
      </w:r>
    </w:p>
    <w:p w14:paraId="528E9A01" w14:textId="77777777" w:rsidR="00E126D3" w:rsidRPr="00E8015E" w:rsidRDefault="00E126D3" w:rsidP="00E126D3">
      <w:pPr>
        <w:shd w:val="clear" w:color="auto" w:fill="FFFFFF"/>
        <w:spacing w:line="240" w:lineRule="auto"/>
        <w:ind w:firstLine="0"/>
        <w:jc w:val="center"/>
        <w:rPr>
          <w:rFonts w:eastAsia="Times New Roman"/>
          <w:spacing w:val="-1"/>
          <w:sz w:val="24"/>
          <w:szCs w:val="24"/>
          <w:lang w:eastAsia="ru-RU"/>
        </w:rPr>
      </w:pPr>
    </w:p>
    <w:p w14:paraId="43B6EAC9" w14:textId="77777777" w:rsidR="00E126D3" w:rsidRPr="00E8015E" w:rsidRDefault="00E126D3" w:rsidP="00E126D3">
      <w:pPr>
        <w:shd w:val="clear" w:color="auto" w:fill="FFFFFF"/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  <w:r w:rsidRPr="00E8015E">
        <w:rPr>
          <w:rFonts w:eastAsia="Times New Roman"/>
          <w:sz w:val="24"/>
          <w:szCs w:val="24"/>
          <w:lang w:eastAsia="ru-RU"/>
        </w:rPr>
        <w:t>Кафедра Автоматизированных систем управления</w:t>
      </w:r>
    </w:p>
    <w:p w14:paraId="5B59F35D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24DA2887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6051928A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346FAD9F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3B647F69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1978A009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43A03849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b/>
          <w:caps/>
          <w:szCs w:val="28"/>
          <w:lang w:eastAsia="ru-RU"/>
        </w:rPr>
      </w:pPr>
      <w:r>
        <w:rPr>
          <w:rFonts w:ascii="Times New Roman" w:hAnsi="Times New Roman" w:eastAsia="Times New Roman"/>
          <w:b/>
          <w:color w:val="000000"/>
          <w:sz w:val="28"/>
        </w:rPr>
        <w:t>ЛАБОРАТОРНАЯ РАБОТА №1.2</w:t>
      </w:r>
    </w:p>
    <w:p w14:paraId="749C1924" w14:textId="4BCA8D98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  <w:r>
        <w:rPr>
          <w:rFonts w:ascii="Times New Roman" w:hAnsi="Times New Roman" w:eastAsia="Times New Roman"/>
          <w:b/>
          <w:color w:val="000000"/>
          <w:sz w:val="28"/>
        </w:rPr>
        <w:t>«Регрессионный анализ»</w:t>
        <w:br/>
      </w:r>
      <w:r>
        <w:rPr>
          <w:rFonts w:ascii="Times New Roman" w:hAnsi="Times New Roman" w:eastAsia="Times New Roman"/>
          <w:color w:val="000000"/>
          <w:sz w:val="24"/>
        </w:rPr>
        <w:t>по дисциплине «Методы анализа данных»</w:t>
      </w:r>
    </w:p>
    <w:p w14:paraId="237D6501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1C9892A2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243E1E54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7E1E4F4F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6BD57EE2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p w14:paraId="7871A799" w14:textId="77777777" w:rsidR="00E126D3" w:rsidRPr="00E8015E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</w:p>
    <w:tbl>
      <w:tblPr>
        <w:tblW w:w="9465" w:type="dxa"/>
        <w:tblLayout w:type="fixed"/>
        <w:tblLook w:val="04A0" w:firstRow="1" w:lastRow="0" w:firstColumn="1" w:lastColumn="0" w:noHBand="0" w:noVBand="1"/>
      </w:tblPr>
      <w:tblGrid>
        <w:gridCol w:w="4644"/>
        <w:gridCol w:w="4821"/>
      </w:tblGrid>
      <w:tr w:rsidR="00E126D3" w:rsidRPr="00E8015E" w14:paraId="446B1D6C" w14:textId="77777777">
        <w:tc>
          <w:tcPr>
            <w:tcW w:w="4643" w:type="dxa"/>
          </w:tcPr>
          <w:p w14:paraId="3B379065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Выполнили:</w:t>
            </w:r>
          </w:p>
          <w:p w14:paraId="5DAB3740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0C7373CF" w14:textId="77777777" w:rsidR="00E126D3" w:rsidRPr="00E8015E" w:rsidRDefault="00E126D3">
            <w:pPr>
              <w:widowControl w:val="0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Данькин Дмитрий Витальевич</w:t>
            </w:r>
            <w:r w:rsidRPr="00E8015E">
              <w:rPr>
                <w:rFonts w:eastAsia="Times New Roman"/>
                <w:sz w:val="24"/>
                <w:szCs w:val="24"/>
                <w:lang w:eastAsia="ru-RU"/>
              </w:rPr>
              <w:br/>
              <w:t>Бикмухаметов Таир Олегович</w:t>
            </w:r>
          </w:p>
          <w:p w14:paraId="442E92B5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49BF00AC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Группа  __</w:t>
            </w:r>
            <w:r w:rsidRPr="00E8015E">
              <w:rPr>
                <w:rFonts w:eastAsia="Times New Roman"/>
                <w:sz w:val="24"/>
                <w:szCs w:val="24"/>
                <w:u w:val="single"/>
                <w:lang w:eastAsia="ru-RU"/>
              </w:rPr>
              <w:t>АВТ-314</w:t>
            </w: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___________</w:t>
            </w:r>
          </w:p>
          <w:p w14:paraId="3F8994EF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1C23757C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Факультет __</w:t>
            </w:r>
            <w:r w:rsidRPr="00E8015E">
              <w:rPr>
                <w:rFonts w:eastAsia="Times New Roman"/>
                <w:sz w:val="24"/>
                <w:szCs w:val="24"/>
                <w:u w:val="single"/>
                <w:lang w:eastAsia="ru-RU"/>
              </w:rPr>
              <w:t>АВТФ</w:t>
            </w: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_____________</w:t>
            </w:r>
            <w:r w:rsidRPr="00E8015E">
              <w:rPr>
                <w:rFonts w:eastAsia="Times New Roman"/>
                <w:color w:val="FFFFFF"/>
                <w:sz w:val="24"/>
                <w:szCs w:val="24"/>
                <w:u w:val="single"/>
                <w:lang w:eastAsia="ru-RU"/>
              </w:rPr>
              <w:t>.</w:t>
            </w:r>
          </w:p>
          <w:p w14:paraId="175ED5AA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2C379667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4820" w:type="dxa"/>
          </w:tcPr>
          <w:p w14:paraId="6B91B75F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E8015E">
              <w:rPr>
                <w:rFonts w:eastAsia="Times New Roman"/>
                <w:sz w:val="24"/>
                <w:szCs w:val="24"/>
                <w:lang w:eastAsia="ru-RU"/>
              </w:rPr>
              <w:t>Проверил:</w:t>
            </w:r>
          </w:p>
          <w:p w14:paraId="50349C11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  <w:p w14:paraId="6BEB04A4" w14:textId="6106F4C5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Ганелина Наталья Давидовна</w:t>
            </w:r>
          </w:p>
          <w:p w14:paraId="321E0323" w14:textId="77777777" w:rsidR="00E126D3" w:rsidRPr="00E8015E" w:rsidRDefault="00E126D3">
            <w:pPr>
              <w:widowControl w:val="0"/>
              <w:spacing w:line="240" w:lineRule="auto"/>
              <w:ind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</w:tr>
    </w:tbl>
    <w:p w14:paraId="5C548B8E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327A9FD4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2552484E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60ACAC54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5B5C041B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741667BB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1A966EAA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182041CF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288951B5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37104660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06689E81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7695753B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5EBF4561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6AD57845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1A73EDB3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6C729E9A" w14:textId="77777777" w:rsidR="00E126D3" w:rsidRPr="00E8015E" w:rsidRDefault="00E126D3" w:rsidP="00E126D3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</w:p>
    <w:p w14:paraId="043B6B17" w14:textId="6746CD1D" w:rsidR="00E126D3" w:rsidRDefault="00E126D3" w:rsidP="00E126D3">
      <w:pPr>
        <w:spacing w:line="240" w:lineRule="auto"/>
        <w:ind w:firstLine="0"/>
        <w:jc w:val="center"/>
        <w:rPr>
          <w:rFonts w:eastAsia="Times New Roman"/>
          <w:sz w:val="24"/>
          <w:szCs w:val="24"/>
          <w:lang w:eastAsia="ru-RU"/>
        </w:rPr>
      </w:pPr>
      <w:r w:rsidRPr="00E8015E">
        <w:rPr>
          <w:rFonts w:eastAsia="Times New Roman"/>
          <w:sz w:val="24"/>
          <w:szCs w:val="24"/>
          <w:lang w:eastAsia="ru-RU"/>
        </w:rPr>
        <w:t>Новосибирск 2026</w:t>
      </w:r>
    </w:p>
    <w:p w14:paraId="0ED6B431" w14:textId="77777777" w:rsidR="00E126D3" w:rsidRDefault="00E126D3">
      <w:pPr>
        <w:spacing w:after="160" w:line="259" w:lineRule="auto"/>
        <w:ind w:firstLine="0"/>
        <w:jc w:val="left"/>
        <w:rPr>
          <w:rFonts w:eastAsia="Times New Roman"/>
          <w:sz w:val="24"/>
          <w:szCs w:val="24"/>
          <w:lang w:eastAsia="ru-RU"/>
        </w:rPr>
        <w:sectPr w:rsidR="00E126D3" w:rsidSect="00E126D3">
          <w:footerReference w:type="default" r:id="rId8"/>
          <w:pgSz w:w="11906" w:h="16838" w:code="9"/>
          <w:pgMar w:top="1134" w:right="851" w:bottom="1134" w:left="1701" w:header="709" w:footer="709" w:gutter="0"/>
          <w:cols w:space="708"/>
          <w:titlePg/>
          <w:docGrid w:linePitch="381"/>
        </w:sectPr>
      </w:pPr>
      <w:r>
        <w:rPr>
          <w:rFonts w:eastAsia="Times New Roman"/>
          <w:sz w:val="24"/>
          <w:szCs w:val="24"/>
          <w:lang w:eastAsia="ru-RU"/>
        </w:rPr>
        <w:br w:type="page"/>
      </w:r>
    </w:p>
    <w:p>
      <w:pPr>
        <w:pStyle w:val="ad"/>
        <w:jc w:val="left"/>
      </w:pPr>
      <w:r>
        <w:rPr>
          <w:rFonts w:ascii="Times New Roman" w:hAnsi="Times New Roman" w:eastAsia="Times New Roman"/>
          <w:b w:val="0"/>
          <w:color w:val="000000"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 TOC \o "1-3" \h \z \u </w:instrText>
        <w:fldChar w:fldCharType="separate"/>
        <w:t>Оглавление обновится при открытии документа в Microsoft Word.</w:t>
        <w:fldChar w:fldCharType="end"/>
      </w:r>
    </w:p>
    <w:p>
      <w:r>
        <w:br w:type="page"/>
      </w:r>
    </w:p>
    <w:p>
      <w:pPr>
        <w:pStyle w:val="1"/>
      </w:pPr>
      <w:r>
        <w:rPr>
          <w:rFonts w:ascii="Times New Roman" w:hAnsi="Times New Roman" w:eastAsia="Times New Roman"/>
          <w:b/>
          <w:color w:val="000000"/>
          <w:sz w:val="28"/>
        </w:rPr>
        <w:t>Цель работы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Изучить построение линейной, пуассоновской и нелинейной регрессионных моделей с фиктивными переменными; провести анализ остатков; оценить качество и статистическую значимость моделей и их коэффициентов.</w:t>
      </w:r>
    </w:p>
    <w:p>
      <w:pPr>
        <w:pStyle w:val="1"/>
      </w:pPr>
      <w:r>
        <w:rPr>
          <w:rFonts w:ascii="Times New Roman" w:hAnsi="Times New Roman" w:eastAsia="Times New Roman"/>
          <w:b/>
          <w:color w:val="000000"/>
          <w:sz w:val="28"/>
        </w:rPr>
        <w:t>1 Описание исходных данных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В работе использован набор данных 1985 Auto Imports («Automobile»), содержащий сведения о 205 автомобилях. Для анализа выбраны три признака:</w:t>
      </w:r>
    </w:p>
    <w:p>
      <w:pPr>
        <w:keepLines w:val="0"/>
      </w:pPr>
      <w:r>
        <w:rPr>
          <w:rFonts w:ascii="Times New Roman" w:hAnsi="Times New Roman" w:eastAsia="Times New Roman"/>
          <w:b/>
          <w:color w:val="000000"/>
          <w:sz w:val="28"/>
        </w:rPr>
        <w:t>symboling</w:t>
      </w:r>
      <w:r>
        <w:rPr>
          <w:rFonts w:ascii="Times New Roman" w:hAnsi="Times New Roman" w:eastAsia="Times New Roman"/>
          <w:color w:val="000000"/>
          <w:sz w:val="28"/>
        </w:rPr>
        <w:t xml:space="preserve"> — зависимая порядковая категориальная переменная, оценка страхового риска от -3 до 3; фактически наблюдаются уровни от -2 до 3.</w:t>
      </w:r>
    </w:p>
    <w:p>
      <w:pPr>
        <w:keepLines w:val="0"/>
      </w:pPr>
      <w:r>
        <w:rPr>
          <w:rFonts w:ascii="Times New Roman" w:hAnsi="Times New Roman" w:eastAsia="Times New Roman"/>
          <w:b/>
          <w:color w:val="000000"/>
          <w:sz w:val="28"/>
        </w:rPr>
        <w:t>curb-weight</w:t>
      </w:r>
      <w:r>
        <w:rPr>
          <w:rFonts w:ascii="Times New Roman" w:hAnsi="Times New Roman" w:eastAsia="Times New Roman"/>
          <w:color w:val="000000"/>
          <w:sz w:val="28"/>
        </w:rPr>
        <w:t xml:space="preserve"> — независимая количественная переменная, снаряжённая масса автомобиля в фунтах.</w:t>
      </w:r>
    </w:p>
    <w:p>
      <w:pPr>
        <w:keepLines w:val="0"/>
      </w:pPr>
      <w:r>
        <w:rPr>
          <w:rFonts w:ascii="Times New Roman" w:hAnsi="Times New Roman" w:eastAsia="Times New Roman"/>
          <w:b/>
          <w:color w:val="000000"/>
          <w:sz w:val="28"/>
        </w:rPr>
        <w:t>drive-wheels</w:t>
      </w:r>
      <w:r>
        <w:rPr>
          <w:rFonts w:ascii="Times New Roman" w:hAnsi="Times New Roman" w:eastAsia="Times New Roman"/>
          <w:color w:val="000000"/>
          <w:sz w:val="28"/>
        </w:rPr>
        <w:t xml:space="preserve"> — независимая номинальная переменная, тип привода: 4wd, fwd или rwd.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1. Проверка выбранных данных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2400"/>
        <w:gridCol w:w="1500"/>
        <w:gridCol w:w="1700"/>
        <w:gridCol w:w="1854"/>
      </w:tblGrid>
      <w:tr>
        <w:trPr>
          <w:tblHeader w:val="true"/>
        </w:trPr>
        <w:tc>
          <w:tcPr>
            <w:tcW w:type="dxa" w:w="19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Признак</w:t>
            </w:r>
          </w:p>
        </w:tc>
        <w:tc>
          <w:tcPr>
            <w:tcW w:type="dxa" w:w="24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Тип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Всего</w:t>
            </w:r>
          </w:p>
        </w:tc>
        <w:tc>
          <w:tcPr>
            <w:tcW w:type="dxa" w:w="17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Пропуски</w:t>
            </w:r>
          </w:p>
        </w:tc>
        <w:tc>
          <w:tcPr>
            <w:tcW w:type="dxa" w:w="18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1"/>
              </w:rPr>
              <w:t>Уникальных</w:t>
            </w:r>
          </w:p>
        </w:tc>
      </w:tr>
      <w:tr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symboling</w:t>
            </w:r>
          </w:p>
        </w:tc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порядковый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205</w:t>
            </w:r>
          </w:p>
        </w:tc>
        <w:tc>
          <w:tcPr>
            <w:tcW w:type="dxa" w:w="17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8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6</w:t>
            </w:r>
          </w:p>
        </w:tc>
      </w:tr>
      <w:tr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drive-wheels</w:t>
            </w:r>
          </w:p>
        </w:tc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номинальный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205</w:t>
            </w:r>
          </w:p>
        </w:tc>
        <w:tc>
          <w:tcPr>
            <w:tcW w:type="dxa" w:w="17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8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3</w:t>
            </w:r>
          </w:p>
        </w:tc>
      </w:tr>
      <w:tr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curb-weight</w:t>
            </w:r>
          </w:p>
        </w:tc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количественный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205</w:t>
            </w:r>
          </w:p>
        </w:tc>
        <w:tc>
          <w:tcPr>
            <w:tcW w:type="dxa" w:w="17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8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1"/>
              </w:rPr>
              <w:t>171</w:t>
            </w:r>
          </w:p>
        </w:tc>
      </w:tr>
    </w:tbl>
    <w:p>
      <w:pPr>
        <w:spacing w:after="40"/>
      </w:pP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Пропуски в выбранных переменных отсутствуют, поэтому все 205 наблюдений включены в моделирование.</w:t>
      </w:r>
    </w:p>
    <w:p>
      <w:r>
        <w:br w:type="page"/>
      </w:r>
    </w:p>
    <w:p>
      <w:pPr>
        <w:pStyle w:val="1"/>
      </w:pPr>
      <w:r>
        <w:rPr>
          <w:rFonts w:ascii="Times New Roman" w:hAnsi="Times New Roman" w:eastAsia="Times New Roman"/>
          <w:b/>
          <w:color w:val="000000"/>
          <w:sz w:val="28"/>
        </w:rPr>
        <w:t>2 Результаты дескриптивного анализа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2. Дескриптивные показатели curb-weight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0"/>
        <w:gridCol w:w="3354"/>
      </w:tblGrid>
      <w:tr>
        <w:trPr>
          <w:tblHeader w:val="true"/>
        </w:trPr>
        <w:tc>
          <w:tcPr>
            <w:tcW w:type="dxa" w:w="6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Показатель</w:t>
            </w:r>
          </w:p>
        </w:tc>
        <w:tc>
          <w:tcPr>
            <w:tcW w:type="dxa" w:w="33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Число наблюдений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205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Среднее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2555.57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Медиана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2414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Мода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2385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Минимум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1488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Максимум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4066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Размах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2578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Дисперсия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2.711e+05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Стандартное отклонение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520.68</w:t>
            </w:r>
          </w:p>
        </w:tc>
      </w:tr>
    </w:tbl>
    <w:p>
      <w:pPr>
        <w:spacing w:after="40"/>
      </w:pP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Дисперсия 271 107,87 выглядит большой из-за квадратной единицы измерения (фунт²). Для интерпретации разброса удобнее стандартное отклонение 520,68 фунта: типичная масса отклоняется от среднего примерно на 521 фунт.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3. Частоты категорий symboling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0"/>
        <w:gridCol w:w="3000"/>
        <w:gridCol w:w="3954"/>
      </w:tblGrid>
      <w:tr>
        <w:trPr>
          <w:tblHeader w:val="true"/>
        </w:trPr>
        <w:tc>
          <w:tcPr>
            <w:tcW w:type="dxa" w:w="24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symboling</w:t>
            </w:r>
          </w:p>
        </w:tc>
        <w:tc>
          <w:tcPr>
            <w:tcW w:type="dxa" w:w="3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Количество</w:t>
            </w:r>
          </w:p>
        </w:tc>
        <w:tc>
          <w:tcPr>
            <w:tcW w:type="dxa" w:w="39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Доля, %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-3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0.00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-2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1.46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-1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22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10.73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67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32.68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54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26.34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32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15.61</w:t>
            </w:r>
          </w:p>
        </w:tc>
      </w:tr>
      <w:tr>
        <w:tc>
          <w:tcPr>
            <w:tcW w:type="dxa" w:w="2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27</w:t>
            </w:r>
          </w:p>
        </w:tc>
        <w:tc>
          <w:tcPr>
            <w:tcW w:type="dxa" w:w="39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13.17</w:t>
            </w:r>
          </w:p>
        </w:tc>
      </w:tr>
    </w:tbl>
    <w:p>
      <w:pPr>
        <w:spacing w:after="40"/>
      </w:pP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Наиболее частая категория symboling — 0: 67 автомобилей, или 32,68% выборки.</w:t>
      </w:r>
    </w:p>
    <w:p>
      <w:r>
        <w:br w:type="page"/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4. Частоты категорий drive-wheels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000"/>
        <w:gridCol w:w="3000"/>
        <w:gridCol w:w="3354"/>
      </w:tblGrid>
      <w:tr>
        <w:trPr>
          <w:tblHeader w:val="true"/>
        </w:trPr>
        <w:tc>
          <w:tcPr>
            <w:tcW w:type="dxa" w:w="3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drive-wheels</w:t>
            </w:r>
          </w:p>
        </w:tc>
        <w:tc>
          <w:tcPr>
            <w:tcW w:type="dxa" w:w="3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Количество</w:t>
            </w:r>
          </w:p>
        </w:tc>
        <w:tc>
          <w:tcPr>
            <w:tcW w:type="dxa" w:w="33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Доля, %</w:t>
            </w:r>
          </w:p>
        </w:tc>
      </w:tr>
      <w:tr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4wd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9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4.39</w:t>
            </w:r>
          </w:p>
        </w:tc>
      </w:tr>
      <w:tr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fwd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120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58.54</w:t>
            </w:r>
          </w:p>
        </w:tc>
      </w:tr>
      <w:tr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rwd</w:t>
            </w:r>
          </w:p>
        </w:tc>
        <w:tc>
          <w:tcPr>
            <w:tcW w:type="dxa" w:w="3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76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37.07</w:t>
            </w:r>
          </w:p>
        </w:tc>
      </w:tr>
    </w:tbl>
    <w:p>
      <w:pPr>
        <w:spacing w:after="40"/>
      </w:pP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В выборке преобладают автомобили с передним приводом fwd: 120 наблюдений, или 58,54%.</w:t>
      </w: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49578"/>
            <wp:docPr id="1" name="Picture 1" descr="распределения выбранных переменных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ected_variables_histogram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49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6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</w:rPr>
        <w:t>Рис. 1 – распределения выбранных переменных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Для curb-weight число интервалов рассчитано по формуле Стерджесса: k = ceil(1 + log₂(205)) = 9. Длина интервала h = (4066 - 1488) / 9 = 286,44 фунта. Согласованность с нормальным распределением оценивается визуально. Гистограмма массы несимметрична и имеет вытянутый правый хвост, поэтому распределение curb-weight нельзя считать хорошо согласующимся с нормальным. Для категориальных symboling и drive-wheels проверка нормальности неприменима.</w:t>
      </w:r>
    </w:p>
    <w:p>
      <w:pPr>
        <w:pStyle w:val="1"/>
      </w:pPr>
      <w:r>
        <w:rPr>
          <w:rFonts w:ascii="Times New Roman" w:hAnsi="Times New Roman" w:eastAsia="Times New Roman"/>
          <w:b/>
          <w:color w:val="000000"/>
          <w:sz w:val="28"/>
        </w:rPr>
        <w:t>3 Регрессионные модели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Во всех моделях масса разделена на 100, чтобы коэффициент показывал изменение результата при увеличении массы на 100 фунтов. Категориальный признак drive-wheels преобразован в две фиктивные переменные; базовой категорией принят полный привод 4wd. Уровень значимости α = 0,05.</w:t>
      </w:r>
    </w:p>
    <w:p>
      <w:r>
        <w:br w:type="page"/>
      </w:r>
    </w:p>
    <w:p>
      <w:pPr>
        <w:pStyle w:val="2"/>
      </w:pPr>
      <w:r>
        <w:rPr>
          <w:rFonts w:ascii="Times New Roman" w:hAnsi="Times New Roman" w:eastAsia="Times New Roman"/>
          <w:b/>
          <w:color w:val="000000"/>
          <w:sz w:val="28"/>
        </w:rPr>
        <w:t>3.1 Линейная регрессия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Модель метода наименьших квадратов рассматривает порядковые уровни symboling как числовую шкалу. Это учебное приближение, позволяющее выполнить требуемую линейную регрессию с фиктивными переменными.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Уравнение модели:</w:t>
      </w:r>
    </w:p>
    <w:p>
      <w:pPr>
        <w:pStyle w:val="Equation"/>
      </w:pPr>
      <w:r>
        <w:rPr>
          <w:rFonts w:ascii="Times New Roman" w:hAnsi="Times New Roman" w:eastAsia="Times New Roman"/>
          <w:i/>
          <w:color w:val="000000"/>
          <w:sz w:val="24"/>
        </w:rPr>
        <w:t>ŷ = 2,383559 − 0,074321·(curb-weight/100) + 0,241036·I(fwd) + 0,563244·I(rwd)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Базовая категория drive-wheels — 4wd. Индикаторы I(fwd) и I(rwd) равны 1 для соответствующего типа привода и 0 в остальных случаях.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5. Коэффициенты и их значимость для модели «Линейная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1250"/>
        <w:gridCol w:w="1500"/>
        <w:gridCol w:w="1400"/>
        <w:gridCol w:w="1500"/>
        <w:gridCol w:w="1404"/>
      </w:tblGrid>
      <w:tr>
        <w:trPr>
          <w:tblHeader w:val="true"/>
        </w:trPr>
        <w:tc>
          <w:tcPr>
            <w:tcW w:type="dxa" w:w="23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Параметр</w:t>
            </w:r>
          </w:p>
        </w:tc>
        <w:tc>
          <w:tcPr>
            <w:tcW w:type="dxa" w:w="125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Коэфф.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Ст. ошибка</w:t>
            </w:r>
          </w:p>
        </w:tc>
        <w:tc>
          <w:tcPr>
            <w:tcW w:type="dxa" w:w="14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Статистика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p-value</w:t>
            </w:r>
          </w:p>
        </w:tc>
        <w:tc>
          <w:tcPr>
            <w:tcW w:type="dxa" w:w="140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Значим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Свободный член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2.38356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0.70985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3.3578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0.00094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да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curb-weight / 100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-0.07432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0.02235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-3.3247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0.00105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да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I(fwd)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0.24104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0.42653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0.5651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0.57263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I(rwd)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0.56324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0.43714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1.2885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0.19906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</w:tbl>
    <w:p>
      <w:pPr>
        <w:spacing w:after="40"/>
      </w:pP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6. Показатели качества модели «Линейная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0"/>
        <w:gridCol w:w="3354"/>
      </w:tblGrid>
      <w:tr>
        <w:trPr>
          <w:tblHeader w:val="true"/>
        </w:trPr>
        <w:tc>
          <w:tcPr>
            <w:tcW w:type="dxa" w:w="6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Показатель</w:t>
            </w:r>
          </w:p>
        </w:tc>
        <w:tc>
          <w:tcPr>
            <w:tcW w:type="dxa" w:w="33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Число наблюдений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205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0.0639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Скорректированный R²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0.0499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1.2019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0.9572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F-статистика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4.5703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p-value модели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0.00404</w:t>
            </w:r>
          </w:p>
        </w:tc>
      </w:tr>
    </w:tbl>
    <w:p>
      <w:pPr>
        <w:spacing w:after="40"/>
      </w:pP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061972"/>
            <wp:docPr id="2" name="Picture 2" descr="остатки и гистограмма стандартизированных остатков модели «Линейная регрессия»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residua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6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6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</w:rPr>
        <w:t>Рис. 2 – остатки и гистограмма стандартизированных остатков модели «Линейная регрессия»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По четырём группам предсказанных значений максимальное по модулю среднее остатка равно 0.358, а отношение наибольшей групповой дисперсии к наименьшей — 4.588. Средние заметно отклоняются от нуля, а разброс меняется между группами, поэтому условия постоянства среднего и дисперсии остатков выполняются неудовлетворительно. Полосы на графике возникают из-за дискретных уровней зависимой переменной symboling.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Уравнение модели статистически значимо: F = 4,5703, p = 0,00404 &lt; 0,05. Значим коэффициент curb-weight (p = 0,00105): при увеличении массы на 100 фунтов ожидаемое значение symboling уменьшается примерно на 0,074. Различия fwd и rwd относительно 4wd статистически не подтверждены. R² = 0,0639, то есть модель объясняет около 6,4% разброса результата.</w:t>
      </w:r>
    </w:p>
    <w:p>
      <w:pPr>
        <w:pStyle w:val="2"/>
      </w:pPr>
      <w:r>
        <w:rPr>
          <w:rFonts w:ascii="Times New Roman" w:hAnsi="Times New Roman" w:eastAsia="Times New Roman"/>
          <w:b/>
          <w:color w:val="000000"/>
          <w:sz w:val="28"/>
        </w:rPr>
        <w:t>3.2 Пуассоновская регрессия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Распределение Пуассона требует неотрицательного отклика, поэтому использован сдвиг symboling + 2, дающий значения от 0 до 5. Поскольку symboling является порядковой, а не счётной переменной, пуассоновская модель имеет учебный характер и требует осторожной интерпретации.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Уравнение модели:</w:t>
      </w:r>
    </w:p>
    <w:p>
      <w:pPr>
        <w:pStyle w:val="Equation"/>
      </w:pPr>
      <w:r>
        <w:rPr>
          <w:rFonts w:ascii="Times New Roman" w:hAnsi="Times New Roman" w:eastAsia="Times New Roman"/>
          <w:i/>
          <w:color w:val="000000"/>
          <w:sz w:val="24"/>
        </w:rPr>
        <w:t>E(symboling + 2 | X) = exp(1,599942 − 0,027193·(curb-weight/100) + 0,090828·I(fwd) + 0,207961·I(rwd))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Базовая категория drive-wheels — 4wd. Индикаторы I(fwd) и I(rwd) равны 1 для соответствующего типа привода и 0 в остальных случаях.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7. Коэффициенты и их значимость для модели «Пуассоновская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1250"/>
        <w:gridCol w:w="1500"/>
        <w:gridCol w:w="1400"/>
        <w:gridCol w:w="1500"/>
        <w:gridCol w:w="1404"/>
      </w:tblGrid>
      <w:tr>
        <w:trPr>
          <w:tblHeader w:val="true"/>
        </w:trPr>
        <w:tc>
          <w:tcPr>
            <w:tcW w:type="dxa" w:w="23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Параметр</w:t>
            </w:r>
          </w:p>
        </w:tc>
        <w:tc>
          <w:tcPr>
            <w:tcW w:type="dxa" w:w="125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Коэфф.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Ст. ошибка</w:t>
            </w:r>
          </w:p>
        </w:tc>
        <w:tc>
          <w:tcPr>
            <w:tcW w:type="dxa" w:w="14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Статистика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p-value</w:t>
            </w:r>
          </w:p>
        </w:tc>
        <w:tc>
          <w:tcPr>
            <w:tcW w:type="dxa" w:w="140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Значим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Свободный член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1.59994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0.36143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4.4267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9.567e-06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да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curb-weight / 100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-0.02719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0.01129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-2.4081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0.01603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да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I(fwd)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0.09083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0.22325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0.4068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0.68412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I(rwd)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0.20796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0.22815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0.9115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0.36204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8. Показатели качества модели «Пуассоновская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0"/>
        <w:gridCol w:w="3354"/>
      </w:tblGrid>
      <w:tr>
        <w:trPr>
          <w:tblHeader w:val="true"/>
        </w:trPr>
        <w:tc>
          <w:tcPr>
            <w:tcW w:type="dxa" w:w="6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Показатель</w:t>
            </w:r>
          </w:p>
        </w:tc>
        <w:tc>
          <w:tcPr>
            <w:tcW w:type="dxa" w:w="33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Число наблюдений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205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Сходимость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да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Число итераций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Логарифм правдоподобия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-346.2489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Девианс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113.3395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AIC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700.4978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Псевдо-R² Мак-Фаддена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0.0104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p-value модели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0.06262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RMSE на сдвинутой шкале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1.2014</w:t>
            </w:r>
          </w:p>
        </w:tc>
      </w:tr>
    </w:tbl>
    <w:p>
      <w:pPr>
        <w:spacing w:after="40"/>
      </w:pP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061972"/>
            <wp:docPr id="3" name="Picture 3" descr="остатки и гистограмма стандартизированных остатков модели «Пуассоновская регрессия»" title="Рисунок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isson_residua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6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6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</w:rPr>
        <w:t>Рис. 3 – остатки и гистограмма стандартизированных остатков модели «Пуассоновская регрессия»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По четырём группам предсказанных значений максимальное по модулю среднее остатка равно 0.339, а отношение наибольшей групповой дисперсии к наименьшей — 4.598. Средние заметно отклоняются от нуля, а разброс меняется между группами, поэтому условия постоянства среднего и дисперсии остатков выполняются неудовлетворительно. Полосы на графике возникают из-за дискретных уровней зависимой переменной symboling.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Модель сошлась за 5 итераций, однако в целом незначима при α = 0,05: p = 0,06262. Коэффициент массы значим (p = 0,01603); exp(−0,027193) = 0,9732 означает уменьшение ожидаемого значения сдвинутого отклика примерно на 2,68% при увеличении массы на 100 фунтов. Коэффициенты типов привода незначимы. Псевдо-R² Мак-Фаддена равен 0,0104 и указывает на очень слабую объясняющую способность.</w:t>
      </w:r>
    </w:p>
    <w:p>
      <w:pPr>
        <w:pStyle w:val="2"/>
      </w:pPr>
      <w:r>
        <w:rPr>
          <w:rFonts w:ascii="Times New Roman" w:hAnsi="Times New Roman" w:eastAsia="Times New Roman"/>
          <w:b/>
          <w:color w:val="000000"/>
          <w:sz w:val="28"/>
        </w:rPr>
        <w:t>3.3 Нелинейная регрессия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К линейной модели добавлен квадрат нормированной массы. Модель остаётся линейной по оцениваемым коэффициентам, но описывает криволинейную зависимость результата от curb-weight.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Уравнение модели:</w:t>
      </w:r>
    </w:p>
    <w:p>
      <w:pPr>
        <w:pStyle w:val="Equation"/>
      </w:pPr>
      <w:r>
        <w:rPr>
          <w:rFonts w:ascii="Times New Roman" w:hAnsi="Times New Roman" w:eastAsia="Times New Roman"/>
          <w:i/>
          <w:color w:val="000000"/>
          <w:sz w:val="24"/>
        </w:rPr>
        <w:t>ŷ = −0,269852 + 0,120912·(curb-weight/100) − 0,003537·(curb-weight/100)² + 0,325904·I(fwd) + 0,616819·I(rwd)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Базовая категория drive-wheels — 4wd. Индикаторы I(fwd) и I(rwd) равны 1 для соответствующего типа привода и 0 в остальных случаях.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9. Коэффициенты и их значимость для модели «Нелинейная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1250"/>
        <w:gridCol w:w="1500"/>
        <w:gridCol w:w="1400"/>
        <w:gridCol w:w="1500"/>
        <w:gridCol w:w="1404"/>
      </w:tblGrid>
      <w:tr>
        <w:trPr>
          <w:tblHeader w:val="true"/>
        </w:trPr>
        <w:tc>
          <w:tcPr>
            <w:tcW w:type="dxa" w:w="23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Параметр</w:t>
            </w:r>
          </w:p>
        </w:tc>
        <w:tc>
          <w:tcPr>
            <w:tcW w:type="dxa" w:w="125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Коэфф.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Ст. ошибка</w:t>
            </w:r>
          </w:p>
        </w:tc>
        <w:tc>
          <w:tcPr>
            <w:tcW w:type="dxa" w:w="14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Статистика</w:t>
            </w:r>
          </w:p>
        </w:tc>
        <w:tc>
          <w:tcPr>
            <w:tcW w:type="dxa" w:w="15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p-value</w:t>
            </w:r>
          </w:p>
        </w:tc>
        <w:tc>
          <w:tcPr>
            <w:tcW w:type="dxa" w:w="140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>Значим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Свободный член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-0.26985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2.08783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-0.1292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0.89729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curb-weight / 100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0.12091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0.14622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0.8269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0.40926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(curb-weight / 100)²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-0.00354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0.00262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-1.351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0.17821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I(fwd)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0.3259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0.43027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0.7574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0.44968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  <w:tr>
        <w:tc>
          <w:tcPr>
            <w:tcW w:type="dxa" w:w="2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I(rwd)</w:t>
            </w:r>
          </w:p>
        </w:tc>
        <w:tc>
          <w:tcPr>
            <w:tcW w:type="dxa" w:w="12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0.61682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0.43804</w:t>
            </w:r>
          </w:p>
        </w:tc>
        <w:tc>
          <w:tcPr>
            <w:tcW w:type="dxa" w:w="14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1.4081</w:t>
            </w:r>
          </w:p>
        </w:tc>
        <w:tc>
          <w:tcPr>
            <w:tcW w:type="dxa" w:w="15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0.16065</w:t>
            </w:r>
          </w:p>
        </w:tc>
        <w:tc>
          <w:tcPr>
            <w:tcW w:type="dxa" w:w="14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9"/>
              </w:rPr>
              <w:t>нет</w:t>
            </w:r>
          </w:p>
        </w:tc>
      </w:tr>
    </w:tbl>
    <w:p>
      <w:pPr>
        <w:spacing w:after="40"/>
      </w:pP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10. Показатели качества модели «Нелинейная регрессия»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6000"/>
        <w:gridCol w:w="3354"/>
      </w:tblGrid>
      <w:tr>
        <w:trPr>
          <w:tblHeader w:val="true"/>
        </w:trPr>
        <w:tc>
          <w:tcPr>
            <w:tcW w:type="dxa" w:w="60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Показатель</w:t>
            </w:r>
          </w:p>
        </w:tc>
        <w:tc>
          <w:tcPr>
            <w:tcW w:type="dxa" w:w="335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Число наблюдений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205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R²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0.0723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Скорректированный R²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0.0538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RMSE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1.1965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MAE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0.9462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F-статистика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3.8981</w:t>
            </w:r>
          </w:p>
        </w:tc>
      </w:tr>
      <w:tr>
        <w:tc>
          <w:tcPr>
            <w:tcW w:type="dxa" w:w="60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p-value модели</w:t>
            </w:r>
          </w:p>
        </w:tc>
        <w:tc>
          <w:tcPr>
            <w:tcW w:type="dxa" w:w="335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22"/>
              </w:rPr>
              <w:t>0.00452</w:t>
            </w:r>
          </w:p>
        </w:tc>
      </w:tr>
    </w:tbl>
    <w:p>
      <w:pPr>
        <w:spacing w:after="40"/>
      </w:pPr>
    </w:p>
    <w:p>
      <w:pPr>
        <w:keepNext/>
        <w:spacing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2061972"/>
            <wp:docPr id="4" name="Picture 4" descr="остатки и гистограмма стандартизированных остатков модели «Нелинейная регрессия»" title="Рисунок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nlinear_residua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6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60" w:after="60"/>
        <w:ind w:firstLine="0"/>
        <w:jc w:val="center"/>
      </w:pPr>
      <w:r>
        <w:rPr>
          <w:rFonts w:ascii="Times New Roman" w:hAnsi="Times New Roman" w:eastAsia="Times New Roman"/>
          <w:color w:val="000000"/>
          <w:sz w:val="28"/>
        </w:rPr>
        <w:t>Рис. 4 – остатки и гистограмма стандартизированных остатков модели «Нелинейная регрессия»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По четырём группам предсказанных значений максимальное по модулю среднее остатка равно 0.394, а отношение наибольшей групповой дисперсии к наименьшей — 3.559. Средние заметно отклоняются от нуля, а разброс меняется между группами, поэтому условия постоянства среднего и дисперсии остатков выполняются неудовлетворительно. Полосы на графике возникают из-за дискретных уровней зависимой переменной symboling.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Уравнение в целом значимо: F = 3,8981, p = 0,00452. Однако квадрат массы незначим (p = 0,17821), как и остальные отдельные коэффициенты. R² повышается лишь до 0,0723, а скорректированный R² — до 0,0538. Следовательно, убедительного нелинейного эффекта массы не выявлено.</w:t>
      </w:r>
    </w:p>
    <w:p>
      <w:pPr>
        <w:pStyle w:val="1"/>
      </w:pPr>
      <w:r>
        <w:rPr>
          <w:rFonts w:ascii="Times New Roman" w:hAnsi="Times New Roman" w:eastAsia="Times New Roman"/>
          <w:b/>
          <w:color w:val="000000"/>
          <w:sz w:val="28"/>
        </w:rPr>
        <w:t>4 Сравнительный анализ и интерпретация результатов</w:t>
      </w:r>
    </w:p>
    <w:p>
      <w:pPr>
        <w:keepNext/>
        <w:spacing w:line="240" w:lineRule="auto" w:before="60" w:after="60"/>
        <w:ind w:firstLine="0"/>
        <w:jc w:val="right"/>
      </w:pPr>
      <w:r>
        <w:rPr>
          <w:rFonts w:ascii="Times New Roman" w:hAnsi="Times New Roman" w:eastAsia="Times New Roman"/>
          <w:color w:val="000000"/>
          <w:sz w:val="28"/>
        </w:rPr>
        <w:t>Таблица 11. Сравнение регрессионных моделей</w:t>
      </w:r>
    </w:p>
    <w:tbl>
      <w:tblPr>
        <w:tblW w:type="dxa" w:w="9354"/>
        <w:jc w:val="left"/>
        <w:tblLayout w:type="fixed"/>
        <w:tblLook w:firstColumn="1" w:firstRow="1" w:lastColumn="0" w:lastRow="0" w:noHBand="0" w:noVBand="1" w:val="04A0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0"/>
        <w:gridCol w:w="1900"/>
        <w:gridCol w:w="1100"/>
        <w:gridCol w:w="1300"/>
        <w:gridCol w:w="1100"/>
        <w:gridCol w:w="1100"/>
        <w:gridCol w:w="1304"/>
      </w:tblGrid>
      <w:tr>
        <w:trPr>
          <w:tblHeader w:val="true"/>
        </w:trPr>
        <w:tc>
          <w:tcPr>
            <w:tcW w:type="dxa" w:w="155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Модель</w:t>
            </w:r>
          </w:p>
        </w:tc>
        <w:tc>
          <w:tcPr>
            <w:tcW w:type="dxa" w:w="19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Мера</w:t>
            </w:r>
          </w:p>
        </w:tc>
        <w:tc>
          <w:tcPr>
            <w:tcW w:type="dxa" w:w="11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Значение</w:t>
            </w:r>
          </w:p>
        </w:tc>
        <w:tc>
          <w:tcPr>
            <w:tcW w:type="dxa" w:w="13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Скорр. R²</w:t>
            </w:r>
          </w:p>
        </w:tc>
        <w:tc>
          <w:tcPr>
            <w:tcW w:type="dxa" w:w="11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RMSE</w:t>
            </w:r>
          </w:p>
        </w:tc>
        <w:tc>
          <w:tcPr>
            <w:tcW w:type="dxa" w:w="1100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AIC</w:t>
            </w:r>
          </w:p>
        </w:tc>
        <w:tc>
          <w:tcPr>
            <w:tcW w:type="dxa" w:w="1304"/>
            <w:shd w:fill="D9E2F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p модели</w:t>
            </w:r>
          </w:p>
        </w:tc>
      </w:tr>
      <w:tr>
        <w:tc>
          <w:tcPr>
            <w:tcW w:type="dxa" w:w="15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Линейная</w:t>
            </w:r>
          </w:p>
        </w:tc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R-squared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0.0639</w:t>
            </w:r>
          </w:p>
        </w:tc>
        <w:tc>
          <w:tcPr>
            <w:tcW w:type="dxa" w:w="1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0.0499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1.2019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—</w:t>
            </w:r>
          </w:p>
        </w:tc>
        <w:tc>
          <w:tcPr>
            <w:tcW w:type="dxa" w:w="13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0.00404</w:t>
            </w:r>
          </w:p>
        </w:tc>
      </w:tr>
      <w:tr>
        <w:tc>
          <w:tcPr>
            <w:tcW w:type="dxa" w:w="15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Нелинейная</w:t>
            </w:r>
          </w:p>
        </w:tc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R-squared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0.0723</w:t>
            </w:r>
          </w:p>
        </w:tc>
        <w:tc>
          <w:tcPr>
            <w:tcW w:type="dxa" w:w="1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0.0538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1.1965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—</w:t>
            </w:r>
          </w:p>
        </w:tc>
        <w:tc>
          <w:tcPr>
            <w:tcW w:type="dxa" w:w="13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0.00452</w:t>
            </w:r>
          </w:p>
        </w:tc>
      </w:tr>
      <w:tr>
        <w:tc>
          <w:tcPr>
            <w:tcW w:type="dxa" w:w="155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Пуассоновская</w:t>
            </w:r>
          </w:p>
        </w:tc>
        <w:tc>
          <w:tcPr>
            <w:tcW w:type="dxa" w:w="19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McFadden pseudo-R-squared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0.0104</w:t>
            </w:r>
          </w:p>
        </w:tc>
        <w:tc>
          <w:tcPr>
            <w:tcW w:type="dxa" w:w="13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—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1.2014</w:t>
            </w:r>
          </w:p>
        </w:tc>
        <w:tc>
          <w:tcPr>
            <w:tcW w:type="dxa" w:w="1100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700.498</w:t>
            </w:r>
          </w:p>
        </w:tc>
        <w:tc>
          <w:tcPr>
            <w:tcW w:type="dxa" w:w="130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before="0" w:after="0"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0.06262</w:t>
            </w:r>
          </w:p>
        </w:tc>
      </w:tr>
    </w:tbl>
    <w:p>
      <w:pPr>
        <w:spacing w:after="40"/>
      </w:pP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Среди моделей МНК нелинейная модель имеет минимальный RMSE (1,1965) и немного больший скорректированный R² (0,0538 против 0,0499). Прирост слишком мал, а коэффициент квадратного члена незначим, поэтому усложнение модели не даёт содержательного улучшения. Для практической интерпретации предпочтительнее более простая линейная модель.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Во всех вариантах объясняющая способность низкая: масса и тип привода описывают лишь малую часть различий symboling. Графики остатков содержат структуру, а групповые дисперсии отличаются в несколько раз. Это означает, что выбранные признаки и формы моделей не полностью описывают механизм страховой оценки.</w:t>
      </w:r>
    </w:p>
    <w:p>
      <w:pPr>
        <w:keepLines w:val="0"/>
      </w:pPr>
      <w:r>
        <w:rPr>
          <w:rFonts w:ascii="Times New Roman" w:hAnsi="Times New Roman" w:eastAsia="Times New Roman"/>
          <w:color w:val="000000"/>
          <w:sz w:val="28"/>
        </w:rPr>
        <w:t>Итоговый вывод: увеличение curb-weight связано со снижением оценки страхового риска, но эффект невелик. После учёта массы различия между типами привода статистически не подтверждаются. Полученные зависимости являются статистическими ассоциациями и сами по себе не доказывают причинного влияния массы или привода. Поскольку symboling — порядковая переменная, для строгого прикладного моделирования естественнее использовать порядковую логистическую регрессию; в данной работе линейная, пуассоновская и квадратичная модели построены в соответствии с заданием.</w:t>
      </w:r>
    </w:p>
    <w:sectPr w:rsidR="008361E8" w:rsidRPr="005F6DA1" w:rsidSect="00E126D3">
      <w:footerReference w:type="default" r:id="rId19"/>
      <w:pgSz w:w="11906" w:h="16838" w:code="9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E2F7DA" w14:textId="77777777" w:rsidR="00E034ED" w:rsidRDefault="00E034ED" w:rsidP="00E126D3">
      <w:pPr>
        <w:spacing w:line="240" w:lineRule="auto"/>
      </w:pPr>
      <w:r>
        <w:separator/>
      </w:r>
    </w:p>
  </w:endnote>
  <w:endnote w:type="continuationSeparator" w:id="0">
    <w:p w14:paraId="7523D39A" w14:textId="77777777" w:rsidR="00E034ED" w:rsidRDefault="00E034ED" w:rsidP="00E126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6340485"/>
      <w:docPartObj>
        <w:docPartGallery w:val="Page Numbers (Bottom of Page)"/>
        <w:docPartUnique/>
      </w:docPartObj>
    </w:sdtPr>
    <w:sdtContent>
      <w:p w14:paraId="56F17E2C" w14:textId="63EF27F6" w:rsidR="00E126D3" w:rsidRDefault="00E126D3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B565A58" w14:textId="77777777" w:rsidR="00E126D3" w:rsidRDefault="00E126D3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8140685"/>
      <w:docPartObj>
        <w:docPartGallery w:val="Page Numbers (Bottom of Page)"/>
        <w:docPartUnique/>
      </w:docPartObj>
    </w:sdtPr>
    <w:sdtContent>
      <w:p w14:paraId="423EBE86" w14:textId="77777777" w:rsidR="00E126D3" w:rsidRDefault="00E126D3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1FFA6F" w14:textId="77777777" w:rsidR="00E126D3" w:rsidRDefault="00E126D3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847B2E" w14:textId="77777777" w:rsidR="00E034ED" w:rsidRDefault="00E034ED" w:rsidP="00E126D3">
      <w:pPr>
        <w:spacing w:line="240" w:lineRule="auto"/>
      </w:pPr>
      <w:r>
        <w:separator/>
      </w:r>
    </w:p>
  </w:footnote>
  <w:footnote w:type="continuationSeparator" w:id="0">
    <w:p w14:paraId="080BA8D0" w14:textId="77777777" w:rsidR="00E034ED" w:rsidRDefault="00E034ED" w:rsidP="00E126D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1458"/>
    <w:multiLevelType w:val="multilevel"/>
    <w:tmpl w:val="465CA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B02DE"/>
    <w:multiLevelType w:val="multilevel"/>
    <w:tmpl w:val="47D05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F03F1"/>
    <w:multiLevelType w:val="multilevel"/>
    <w:tmpl w:val="C42A0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37AD9"/>
    <w:multiLevelType w:val="multilevel"/>
    <w:tmpl w:val="6CE0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1A4999"/>
    <w:multiLevelType w:val="multilevel"/>
    <w:tmpl w:val="9308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703A8"/>
    <w:multiLevelType w:val="multilevel"/>
    <w:tmpl w:val="E4205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C698D"/>
    <w:multiLevelType w:val="multilevel"/>
    <w:tmpl w:val="A1B62D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94486E"/>
    <w:multiLevelType w:val="multilevel"/>
    <w:tmpl w:val="B9D003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E52B90"/>
    <w:multiLevelType w:val="multilevel"/>
    <w:tmpl w:val="F62E0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4129CB"/>
    <w:multiLevelType w:val="multilevel"/>
    <w:tmpl w:val="F498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6044CA"/>
    <w:multiLevelType w:val="multilevel"/>
    <w:tmpl w:val="D638DC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BA3C91"/>
    <w:multiLevelType w:val="multilevel"/>
    <w:tmpl w:val="08A611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072CB9"/>
    <w:multiLevelType w:val="multilevel"/>
    <w:tmpl w:val="4C747F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AD6917"/>
    <w:multiLevelType w:val="multilevel"/>
    <w:tmpl w:val="EF646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4A200FE"/>
    <w:multiLevelType w:val="multilevel"/>
    <w:tmpl w:val="099012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C94FE3"/>
    <w:multiLevelType w:val="multilevel"/>
    <w:tmpl w:val="E4262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70583D"/>
    <w:multiLevelType w:val="multilevel"/>
    <w:tmpl w:val="B9D003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C6AA0"/>
    <w:multiLevelType w:val="hybridMultilevel"/>
    <w:tmpl w:val="7CC4D6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4D57CA0"/>
    <w:multiLevelType w:val="multilevel"/>
    <w:tmpl w:val="BCF8FD3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F339A9"/>
    <w:multiLevelType w:val="multilevel"/>
    <w:tmpl w:val="A270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862899"/>
    <w:multiLevelType w:val="multilevel"/>
    <w:tmpl w:val="5EE8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94574905">
    <w:abstractNumId w:val="2"/>
  </w:num>
  <w:num w:numId="2" w16cid:durableId="1344212387">
    <w:abstractNumId w:val="17"/>
  </w:num>
  <w:num w:numId="3" w16cid:durableId="1710955189">
    <w:abstractNumId w:val="20"/>
  </w:num>
  <w:num w:numId="4" w16cid:durableId="1305425331">
    <w:abstractNumId w:val="18"/>
  </w:num>
  <w:num w:numId="5" w16cid:durableId="2036300951">
    <w:abstractNumId w:val="8"/>
  </w:num>
  <w:num w:numId="6" w16cid:durableId="85005586">
    <w:abstractNumId w:val="19"/>
  </w:num>
  <w:num w:numId="7" w16cid:durableId="1700740258">
    <w:abstractNumId w:val="1"/>
  </w:num>
  <w:num w:numId="8" w16cid:durableId="2071226138">
    <w:abstractNumId w:val="12"/>
  </w:num>
  <w:num w:numId="9" w16cid:durableId="1496338224">
    <w:abstractNumId w:val="4"/>
  </w:num>
  <w:num w:numId="10" w16cid:durableId="1112095957">
    <w:abstractNumId w:val="10"/>
  </w:num>
  <w:num w:numId="11" w16cid:durableId="1170607857">
    <w:abstractNumId w:val="3"/>
  </w:num>
  <w:num w:numId="12" w16cid:durableId="439834331">
    <w:abstractNumId w:val="6"/>
  </w:num>
  <w:num w:numId="13" w16cid:durableId="1078330923">
    <w:abstractNumId w:val="15"/>
  </w:num>
  <w:num w:numId="14" w16cid:durableId="481436153">
    <w:abstractNumId w:val="0"/>
  </w:num>
  <w:num w:numId="15" w16cid:durableId="815413945">
    <w:abstractNumId w:val="14"/>
  </w:num>
  <w:num w:numId="16" w16cid:durableId="1702048401">
    <w:abstractNumId w:val="13"/>
  </w:num>
  <w:num w:numId="17" w16cid:durableId="306011195">
    <w:abstractNumId w:val="5"/>
  </w:num>
  <w:num w:numId="18" w16cid:durableId="1152138967">
    <w:abstractNumId w:val="11"/>
  </w:num>
  <w:num w:numId="19" w16cid:durableId="1254783851">
    <w:abstractNumId w:val="9"/>
  </w:num>
  <w:num w:numId="20" w16cid:durableId="1591621223">
    <w:abstractNumId w:val="16"/>
  </w:num>
  <w:num w:numId="21" w16cid:durableId="17866508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6D3"/>
    <w:rsid w:val="00014BA2"/>
    <w:rsid w:val="00025B0D"/>
    <w:rsid w:val="00026B93"/>
    <w:rsid w:val="000D0546"/>
    <w:rsid w:val="00205089"/>
    <w:rsid w:val="00213B98"/>
    <w:rsid w:val="00216A2E"/>
    <w:rsid w:val="002A3474"/>
    <w:rsid w:val="002D2ECA"/>
    <w:rsid w:val="002D66FA"/>
    <w:rsid w:val="002F12A7"/>
    <w:rsid w:val="003124CD"/>
    <w:rsid w:val="0037069E"/>
    <w:rsid w:val="004A305A"/>
    <w:rsid w:val="00511FED"/>
    <w:rsid w:val="00524EE5"/>
    <w:rsid w:val="005C19FC"/>
    <w:rsid w:val="005F6DA1"/>
    <w:rsid w:val="006C0B77"/>
    <w:rsid w:val="00786A27"/>
    <w:rsid w:val="00794622"/>
    <w:rsid w:val="007F072F"/>
    <w:rsid w:val="00803D99"/>
    <w:rsid w:val="008242FF"/>
    <w:rsid w:val="008361E8"/>
    <w:rsid w:val="00854582"/>
    <w:rsid w:val="00870751"/>
    <w:rsid w:val="008C0537"/>
    <w:rsid w:val="008F0ABC"/>
    <w:rsid w:val="00922C48"/>
    <w:rsid w:val="00972D9B"/>
    <w:rsid w:val="009B26E8"/>
    <w:rsid w:val="00A43320"/>
    <w:rsid w:val="00B750A6"/>
    <w:rsid w:val="00B915B7"/>
    <w:rsid w:val="00B936AF"/>
    <w:rsid w:val="00BC466D"/>
    <w:rsid w:val="00BD69D4"/>
    <w:rsid w:val="00CE5276"/>
    <w:rsid w:val="00D25EB3"/>
    <w:rsid w:val="00D265F2"/>
    <w:rsid w:val="00D8305D"/>
    <w:rsid w:val="00DF1F3A"/>
    <w:rsid w:val="00E034ED"/>
    <w:rsid w:val="00E126D3"/>
    <w:rsid w:val="00E55024"/>
    <w:rsid w:val="00EA59DF"/>
    <w:rsid w:val="00EA733E"/>
    <w:rsid w:val="00EB34A3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7A956"/>
  <w15:chartTrackingRefBased/>
  <w15:docId w15:val="{393FB899-6E7F-475C-9DAD-CB00425F9EFA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36AF"/>
    <w:pPr>
      <w:spacing w:after="0" w:line="360" w:lineRule="auto" w:before="0"/>
      <w:ind w:firstLine="709"/>
      <w:jc w:val="both"/>
    </w:pPr>
    <w:rPr>
      <w:rFonts w:ascii="Times New Roman" w:hAnsi="Times New Roman" w:cs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E5276"/>
    <w:pPr>
      <w:keepNext/>
      <w:keepLines/>
      <w:spacing w:before="200" w:after="80" w:line="240" w:lineRule="auto"/>
      <w:ind w:firstLine="0" w:left="0"/>
      <w:jc w:val="both"/>
      <w:outlineLvl w:val="0"/>
    </w:pPr>
    <w:rPr>
      <w:rFonts w:eastAsiaTheme="majorEastAsia" w:cstheme="majorBidi" w:ascii="Times New Roman" w:hAnsi="Times New Roman"/>
      <w:b/>
      <w:color w:val="000000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E5276"/>
    <w:pPr>
      <w:keepNext/>
      <w:keepLines/>
      <w:spacing w:before="120" w:after="80" w:line="240" w:lineRule="auto"/>
      <w:ind w:firstLine="0" w:left="0"/>
      <w:jc w:val="both"/>
      <w:outlineLvl w:val="1"/>
    </w:pPr>
    <w:rPr>
      <w:rFonts w:eastAsiaTheme="majorEastAsia" w:cstheme="majorBidi" w:ascii="Times New Roman" w:hAnsi="Times New Roman"/>
      <w:b/>
      <w:color w:val="000000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5089"/>
    <w:pPr>
      <w:keepNext/>
      <w:keepLines/>
      <w:spacing w:before="120" w:after="80" w:line="240" w:lineRule="auto"/>
      <w:ind w:firstLine="0" w:left="0"/>
      <w:jc w:val="both"/>
      <w:outlineLvl w:val="2"/>
    </w:pPr>
    <w:rPr>
      <w:rFonts w:eastAsiaTheme="majorEastAsia" w:cstheme="majorBidi" w:ascii="Times New Roman" w:hAnsi="Times New Roman"/>
      <w:b/>
      <w:color w:val="000000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26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26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26D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26D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26D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26D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5276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a3">
    <w:name w:val="No Spacing"/>
    <w:uiPriority w:val="1"/>
    <w:qFormat/>
    <w:rsid w:val="00CE5276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CE5276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508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E126D3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126D3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126D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126D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126D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126D3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E12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E12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126D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E12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126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126D3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E126D3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E126D3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126D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E126D3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E126D3"/>
    <w:rPr>
      <w:b/>
      <w:bCs/>
      <w:smallCaps/>
      <w:color w:val="2E74B5" w:themeColor="accent1" w:themeShade="BF"/>
      <w:spacing w:val="5"/>
    </w:rPr>
  </w:style>
  <w:style w:type="paragraph" w:styleId="ad">
    <w:name w:val="TOC Heading"/>
    <w:basedOn w:val="1"/>
    <w:next w:val="a"/>
    <w:uiPriority w:val="39"/>
    <w:unhideWhenUsed/>
    <w:qFormat/>
    <w:rsid w:val="00E126D3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  <w:lang w:eastAsia="ru-RU"/>
    </w:rPr>
  </w:style>
  <w:style w:type="paragraph" w:styleId="ae">
    <w:name w:val="header"/>
    <w:basedOn w:val="a"/>
    <w:link w:val="af"/>
    <w:uiPriority w:val="99"/>
    <w:unhideWhenUsed/>
    <w:rsid w:val="00E126D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E126D3"/>
    <w:rPr>
      <w:rFonts w:ascii="Times New Roman" w:hAnsi="Times New Roman" w:cs="Times New Roman"/>
      <w:kern w:val="0"/>
      <w:sz w:val="28"/>
      <w14:ligatures w14:val="none"/>
    </w:rPr>
  </w:style>
  <w:style w:type="paragraph" w:styleId="af0">
    <w:name w:val="footer"/>
    <w:basedOn w:val="a"/>
    <w:link w:val="af1"/>
    <w:uiPriority w:val="99"/>
    <w:unhideWhenUsed/>
    <w:rsid w:val="00E126D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E126D3"/>
    <w:rPr>
      <w:rFonts w:ascii="Times New Roman" w:hAnsi="Times New Roman" w:cs="Times New Roman"/>
      <w:kern w:val="0"/>
      <w:sz w:val="28"/>
      <w14:ligatures w14:val="none"/>
    </w:rPr>
  </w:style>
  <w:style w:type="table" w:styleId="af2">
    <w:name w:val="Table Grid"/>
    <w:basedOn w:val="a1"/>
    <w:uiPriority w:val="39"/>
    <w:rsid w:val="00E550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205089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205089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5C19F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5C19FC"/>
    <w:pPr>
      <w:spacing w:after="100"/>
      <w:ind w:left="280"/>
    </w:pPr>
  </w:style>
  <w:style w:type="paragraph" w:styleId="af5">
    <w:name w:val="Normal (Web)"/>
    <w:basedOn w:val="a"/>
    <w:uiPriority w:val="99"/>
    <w:semiHidden/>
    <w:unhideWhenUsed/>
    <w:rsid w:val="00BC466D"/>
    <w:rPr>
      <w:sz w:val="24"/>
      <w:szCs w:val="24"/>
    </w:rPr>
  </w:style>
  <w:style w:type="paragraph" w:customStyle="1" w:styleId="Equation">
    <w:name w:val="Equation"/>
    <w:pPr>
      <w:keepLines/>
      <w:spacing w:before="80" w:after="80" w:line="240" w:lineRule="auto"/>
      <w:ind w:firstLine="0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tylervigen.com/spurious/correlation/5920_per-capita-consumption-of-margarine_correlates-with_the-divorce-rate-in-maine" TargetMode="Externa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0BF803-EBDB-48D8-9456-C118E7009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17</Pages>
  <Words>1986</Words>
  <Characters>11324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1.2. Регрессионный анализ</dc:title>
  <dc:subject>Методы анализа данных</dc:subject>
  <dc:creator>Tair Bikmukhametov</dc:creator>
  <cp:keywords>регрессия, автомобили, symboling, curb-weight, drive-wheels</cp:keywords>
  <dc:description/>
  <cp:lastModifiedBy>Tair Bikmukhametov</cp:lastModifiedBy>
  <cp:revision>2</cp:revision>
  <dcterms:created xsi:type="dcterms:W3CDTF">2026-09-20T10:28:00Z</dcterms:created>
  <dcterms:modified xsi:type="dcterms:W3CDTF">2026-09-22T00:38:00Z</dcterms:modified>
</cp:coreProperties>
</file>