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sz w:val="24"/>
        </w:rPr>
        <w:t>РОССИЙСКОЙ ФЕДЕРАЦИИ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sz w:val="22"/>
        </w:rPr>
        <w:t>федеральное государственное автономное образовательное учреждение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sz w:val="22"/>
        </w:rPr>
        <w:t>высшего образования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sz w:val="24"/>
        </w:rPr>
        <w:t>«САНКТ-ПЕТЕРБУРГСКИЙ ГОСУДАРСТВЕННЫЙ УНИВЕРСИТЕТ</w:t>
      </w:r>
    </w:p>
    <w:p>
      <w:pPr>
        <w:spacing w:before="0" w:after="480" w:line="276" w:lineRule="auto"/>
        <w:jc w:val="center"/>
      </w:pPr>
      <w:r>
        <w:rPr>
          <w:rFonts w:ascii="Times New Roman" w:hAnsi="Times New Roman"/>
          <w:b/>
          <w:sz w:val="24"/>
        </w:rPr>
        <w:t>АЭРОКОСМИЧЕСКОГО ПРИБОРОСТРОЕНИЯ»</w:t>
      </w:r>
    </w:p>
    <w:p>
      <w:pPr>
        <w:spacing w:before="720" w:after="240" w:line="276" w:lineRule="auto"/>
        <w:jc w:val="center"/>
      </w:pPr>
      <w:r>
        <w:rPr>
          <w:rFonts w:ascii="Times New Roman" w:hAnsi="Times New Roman"/>
          <w:b/>
          <w:sz w:val="32"/>
        </w:rPr>
        <w:t>ПРАКТИЧЕСКАЯ РАБОТА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дисциплине: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sz w:val="28"/>
        </w:rPr>
        <w:t>«Разработка и управление продуктом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sz w:val="28"/>
        </w:rPr>
        <w:t>в условиях технологических изменений»</w:t>
      </w:r>
    </w:p>
    <w:p>
      <w:pPr>
        <w:spacing w:before="240" w:after="0" w:line="276" w:lineRule="auto"/>
        <w:jc w:val="center"/>
      </w:pPr>
      <w:r>
        <w:rPr>
          <w:rFonts w:ascii="Times New Roman" w:hAnsi="Times New Roman"/>
          <w:b w:val="0"/>
          <w:sz w:val="28"/>
        </w:rPr>
        <w:t>Тема: Разработка промышленного робота-манипулятора</w:t>
      </w:r>
    </w:p>
    <w:p>
      <w:pPr>
        <w:spacing w:before="0" w:after="720" w:line="276" w:lineRule="auto"/>
        <w:jc w:val="center"/>
      </w:pPr>
      <w:r>
        <w:rPr>
          <w:rFonts w:ascii="Times New Roman" w:hAnsi="Times New Roman"/>
          <w:b w:val="0"/>
          <w:sz w:val="28"/>
        </w:rPr>
        <w:t>для сборочного производства</w:t>
      </w:r>
    </w:p>
    <w:p/>
    <w:p/>
    <w:p/>
    <w:p>
      <w:pPr>
        <w:spacing w:after="40" w:line="276" w:lineRule="auto"/>
        <w:jc w:val="right"/>
      </w:pPr>
      <w:r>
        <w:rPr>
          <w:rFonts w:ascii="Times New Roman" w:hAnsi="Times New Roman"/>
          <w:sz w:val="28"/>
        </w:rPr>
        <w:t>Выполнил: студент группы М558М</w:t>
      </w:r>
    </w:p>
    <w:p>
      <w:pPr>
        <w:spacing w:after="240" w:line="276" w:lineRule="auto"/>
        <w:jc w:val="right"/>
      </w:pPr>
      <w:r>
        <w:rPr>
          <w:rFonts w:ascii="Times New Roman" w:hAnsi="Times New Roman"/>
          <w:sz w:val="28"/>
        </w:rPr>
        <w:t>Рослов Д.С.</w:t>
      </w:r>
    </w:p>
    <w:p>
      <w:pPr>
        <w:spacing w:line="276" w:lineRule="auto"/>
        <w:jc w:val="right"/>
      </w:pPr>
      <w:r>
        <w:rPr>
          <w:rFonts w:ascii="Times New Roman" w:hAnsi="Times New Roman"/>
          <w:sz w:val="28"/>
        </w:rPr>
        <w:t>Проверил: ____________________</w:t>
      </w:r>
    </w:p>
    <w:p/>
    <w:p/>
    <w:p/>
    <w:p/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sz w:val="28"/>
        </w:rPr>
        <w:t>Санкт-Петербург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8"/>
        </w:rPr>
        <w:t>Введение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8"/>
        </w:rPr>
        <w:t>1. Формирование облика продукта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8"/>
        </w:rPr>
        <w:t>2. Определение требований к продукту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8"/>
        </w:rPr>
        <w:t>3. Описание жизненного цикла продукта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8"/>
        </w:rPr>
        <w:t>4. Выбор формы кооперации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8"/>
        </w:rPr>
        <w:t>5. Элементы НИОКР и проектирования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8"/>
        </w:rPr>
        <w:t>6. Макетирование и опытные образцы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8"/>
        </w:rPr>
        <w:t>7. Верификация и валидация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8"/>
        </w:rPr>
        <w:t>8. Проектное и операционное управление на производстве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8"/>
        </w:rPr>
        <w:t>9. Паспорт проекта и инвестиционная привлекательность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8"/>
        </w:rPr>
        <w:t>Список источников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Современное машиностроительное производство переживает этап активной роботизации. По данным Минпромторга РФ, объём российского рынка промышленной робототехники в 2025 году достиг 7,86 млрд рублей, увеличившись на 14% год к году. Плотность роботизации в России выросла до 40 роботов на 10 000 работников, а к 2030 году страна должна войти в топ-25 стран мира по этому показателю.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Настоящая работа посвящена разработке промышленного робота-манипулятора для сборочного производства. В качестве базовой платформы рассматривается шестиосевой робот-манипулятор класса FANUC M-20iD/25 — компактный робот с грузоподъёмностью 25 кг и повторяемостью ±0,02 мм, широко применяемый на сборочных линиях мирового машиностроения.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Цель работы — последовательно пройти все этапы разработки и управления продуктом: от формирования облика до оценки инвестиционной привлекательности проекта.</w:t>
      </w:r>
    </w:p>
    <w:p>
      <w:pPr>
        <w:pStyle w:val="Heading1"/>
      </w:pPr>
      <w:r>
        <w:t>1. Формирование облика продукта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Назначение продукта: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Промышленный робот-манипулятор предназначен для автоматизации сборочных операций на машиностроительных предприятиях: установка деталей в корпусные изделия, завинчивание крепежа, нанесение герметиков и клеев, контрольное позиционирование компонентов.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Целевая аудитория: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Предприятия автомобилестроения, приборостроения и электронной промышленности, выполняющие серийную и крупносерийную сборку изделий массой до 25 кг.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Ключевые ожидания заинтересованных сторон: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Производственный персонал: простота программирования и переналадки;</w:t>
        <w:br/>
        <w:t>— Руководство предприятия: рост производительности на 30–50%, снижение брака;</w:t>
        <w:br/>
        <w:t>— Служба эксплуатации: высокая надёжность (MTBF не менее 60 000 часов), доступность запчастей;</w:t>
        <w:br/>
        <w:t>— Регулирующие органы: соответствие требованиям безопасности ГОСТ Р ИСО 10218-1-2016.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Основные функциональные и эксплуатационные характеристики: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6 управляемых осей;</w:t>
        <w:br/>
        <w:t>— Грузоподъёмность: 25 кг;</w:t>
        <w:br/>
        <w:t>— Радиус действия: 1831 мм;</w:t>
        <w:br/>
        <w:t>— Повторяемость позиционирования: ±0,02 мм;</w:t>
        <w:br/>
        <w:t>— Максимальная скорость по оси J6: 720°/с;</w:t>
        <w:br/>
        <w:t>— Масса робота: 250 кг;</w:t>
        <w:br/>
        <w:t>— Варианты монтажа: напольный, потолочный, угловой.</w:t>
      </w:r>
    </w:p>
    <w:p>
      <w:pPr>
        <w:pStyle w:val="Heading1"/>
      </w:pPr>
      <w:r>
        <w:t>2. Определение требований к продукту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Обязательные требования: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Грузоподъёмность не менее 25 кг на фланце;</w:t>
        <w:br/>
        <w:t>— Повторяемость ±0,03 мм и лучше;</w:t>
        <w:br/>
        <w:t>— Класс защиты корпуса IP67 (для работы в условиях СОЖ и пыли);</w:t>
        <w:br/>
        <w:t>— Соответствие ГОСТ Р ИСО 10218-1-2016 (безопасность промышленных роботов);</w:t>
        <w:br/>
        <w:t>— Интеграция с системами технического зрения;</w:t>
        <w:br/>
        <w:t>— Наработка на отказ (MTBF) не менее 60 000 часов.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Желательные требования: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Полая конструкция запястья и основания для прокладки кабелей;</w:t>
        <w:br/>
        <w:t>— Коллаборативный режим работы (снижение скорости при приближении оператора);</w:t>
        <w:br/>
        <w:t>— Поддержка протоколов EtherNet/IP, PROFINET, EtherCAT;</w:t>
        <w:br/>
        <w:t>— Энергопотребление не более 2 кВт в номинальном режиме.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Ограничения: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Технологические: необходимость использования высокоточных редукторов (волновых или циклоидных), импорт которых ограничен;</w:t>
        <w:br/>
        <w:t>— Ресурсные: бюджет проекта до 150 млн рублей на этапе НИОКР;</w:t>
        <w:br/>
        <w:t>— Нормативные: обязательная сертификация по ТР ТС 010/2011 (безопасность машин и оборудования).</w:t>
      </w:r>
    </w:p>
    <w:p>
      <w:pPr>
        <w:pStyle w:val="Heading1"/>
      </w:pPr>
      <w:r>
        <w:t>3. Описание жизненного цикла продукта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Жизненный цикл промышленного робота-манипулятора в соответствии с ГОСТ Р 56136-2014 включает следующие стадии: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Научно-исследовательские работы (НИР).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Анализ рынка, патентный поиск, формирование ТЗ. Управленческая задача: обоснование целесообразности проекта. Точка изменений: выбор кинематической схемы.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Опытно-конструкторские работы (ОКР).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Аванпроект, эскизный и технический проект, рабочая документация. Управленческая задача: контроль сроков и бюджета. Точка изменений: переход на отечественные комплектующие.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Производство.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Технологическая подготовка, изготовление опытной и установочной партий, серийное производство. Управленческая задача: обеспечение качества, логистика. Точка изменений: внедрение аддитивных технологий для корпусных деталей.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Эксплуатация.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Ввод в эксплуатацию, техническое обслуживание, ремонт, модернизация. Управленческая задача: сервисная поддержка и обучение персонала. Точка изменений: обновление программного обеспечения контроллера.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Утилизация.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Демонтаж, переработка материалов, утилизация электронных компонентов. Управленческая задача: соблюдение экологических норм.</w:t>
      </w:r>
    </w:p>
    <w:p>
      <w:pPr>
        <w:pStyle w:val="Heading1"/>
      </w:pPr>
      <w:r>
        <w:t>4. Выбор формы кооперации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Виды кооперации: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1. Производственная кооперация — изготовление корпусных деталей, механических узлов и электрошкафов на специализированных предприятиях-партнёрах.</w:t>
        <w:br/>
        <w:t>2. Технологическая кооперация — совместное использование испытательного оборудования (вибростенды, климатические камеры) с профильными НИИ.</w:t>
        <w:br/>
        <w:t>3. Научно-техническая кооперация — разработка системы управления совместно с университетскими лабораториями (например, кафедры ГУАП в области систем управления и мехатроники).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Распределение функций: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Головное предприятие: проектирование, финальная сборка, ПО контроллера, сервис;</w:t>
        <w:br/>
        <w:t>— Партнёр 1 (механообработка): изготовление корпусов, звеньев манипулятора;</w:t>
        <w:br/>
        <w:t>— Партнёр 2 (электроника): производство плат управления, силовых модулей;</w:t>
        <w:br/>
        <w:t>— Университет: НИОКР по алгоритмам управления, подготовка кадров.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Риски кооперации и их снижение: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Срыв сроков поставщиком → резервирование альтернативных поставщиков, буферные запасы;</w:t>
        <w:br/>
        <w:t>— Утечка интеллектуальной собственности → NDA, патентование ключевых решений;</w:t>
        <w:br/>
        <w:t>— Несоответствие качества комплектующих → входной контроль, аудит производства партнёров.</w:t>
      </w:r>
    </w:p>
    <w:p>
      <w:pPr>
        <w:pStyle w:val="Heading1"/>
      </w:pPr>
      <w:r>
        <w:t>5. Элементы НИОКР и проектирования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Основные положения технического задания: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Разработать 6-осевой промышленный робот-манипулятор для сборочных операций;</w:t>
        <w:br/>
        <w:t>— Грузоподъёмность 25 кг, радиус действия не менее 1800 мм;</w:t>
        <w:br/>
        <w:t>— Повторяемость позиционирования ±0,02 мм;</w:t>
        <w:br/>
        <w:t>— Система управления на базе отечественного контроллера;</w:t>
        <w:br/>
        <w:t>— Срок выполнения НИОКР: 18 месяцев.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Содержание аванпроекта: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Аванпроект включает: анализ аналогов (FANUC M-20iD/25, KUKA KR 20 R1810, ABB IRB 2600), обоснование выбранной кинематической схемы, предварительный расчёт нагрузок на звенья, оценку стоимости и сроков разработки, анализ рисков.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Ключевая конструкторская документация: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Техническое задание (ГОСТ 15.016-2016);</w:t>
        <w:br/>
        <w:t>— Пояснительная записка аванпроекта;</w:t>
        <w:br/>
        <w:t>— Сборочные чертежи манипулятора;</w:t>
        <w:br/>
        <w:t>— Схемы электрические принципиальные (ГОСТ 2.702-2011);</w:t>
        <w:br/>
        <w:t>— Программа и методика испытаний (ГОСТ 2.106-2019);</w:t>
        <w:br/>
        <w:t>— Руководство по эксплуатации (ГОСТ 2.610-2019).</w:t>
      </w:r>
    </w:p>
    <w:p>
      <w:pPr>
        <w:pStyle w:val="Heading1"/>
      </w:pPr>
      <w:r>
        <w:t>6. Макетирование и опытные образцы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Цель макетирования: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Проверка компоновочных решений, отработка кинематики и эргономики рабочего пространства до изготовления опытного образца. Макетирование выполняется с использованием 3D-печати корпусных элементов и цифровых двойников в среде моделирования (RoboDK, FANUC ROBOGUIDE).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Назначение опытного образца: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Опытный образец предназначен для подтверждения заявленных характеристик, отработки технологии сборки, проведения предварительных и приёмочных испытаний, а также для демонстрации заказчикам и потенциальным инвесторам.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Виды испытаний: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Функциональные: проверка кинематики, точности позиционирования, грузоподъёмности;</w:t>
        <w:br/>
        <w:t>— Ресурсные: непрерывная работа в течение 1000 часов для оценки MTBF;</w:t>
        <w:br/>
        <w:t>— Климатические: работа при температурах от +5 до +45 °C;</w:t>
        <w:br/>
        <w:t>— Электромагнитная совместимость (ЭМС): соответствие ГОСТ 30804.6.2-2013;</w:t>
        <w:br/>
        <w:t>— Испытания на безопасность: по ГОСТ Р ИСО 10218-1-2016.</w:t>
      </w:r>
    </w:p>
    <w:p>
      <w:pPr>
        <w:pStyle w:val="Heading1"/>
      </w:pPr>
      <w:r>
        <w:t>7. Верификация и валидация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Верификация (проверка соответствия ТЗ):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Анализ конструкторской документации на соответствие ТЗ;</w:t>
        <w:br/>
        <w:t>— Контроль размеров деталей (координатно-измерительная машина);</w:t>
        <w:br/>
        <w:t>— Проверка программного обеспечения методами статического анализа;</w:t>
        <w:br/>
        <w:t>— Стендовые испытания отдельных узлов (редукторы, приводы).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Валидация (подтверждение пригодности для эксплуатации):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Выполнение типовых сборочных операций на реальном производстве;</w:t>
        <w:br/>
        <w:t>— Оценка времени цикла сборки (целевой показатель: не более 15 секунд на операцию);</w:t>
        <w:br/>
        <w:t>— Экспертная оценка удобства программирования оператором;</w:t>
        <w:br/>
        <w:t>— Контроль показателей повторяемости на партии из 1000 циклов.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Возможные результаты и управленческие решения: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Все параметры в норме → запуск установочной серии;</w:t>
        <w:br/>
        <w:t>— Отклонения по точности → доработка механики, повторные испытания;</w:t>
        <w:br/>
        <w:t>— Несоответствие по безопасности → обязательная доработка до повторной сертификации.</w:t>
      </w:r>
    </w:p>
    <w:p>
      <w:pPr>
        <w:pStyle w:val="Heading1"/>
      </w:pPr>
      <w:r>
        <w:t>8. Проектное и операционное управление на производстве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Этапы технологической подготовки: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1. Разработка технологических процессов изготовления деталей и сборки;</w:t>
        <w:br/>
        <w:t>2. Проектирование и изготовление оснастки и приспособлений;</w:t>
        <w:br/>
        <w:t>3. Отладка производственной линии на установочной партии;</w:t>
        <w:br/>
        <w:t>4. Аттестация производства, обучение персонала;</w:t>
        <w:br/>
        <w:t>5. Запуск серийного производства.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Элементы планирования, контроля и ресурсного обеспечения: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Планирование: диаграмма Ганта проекта, WBS (структура декомпозиции работ), план закупок комплектующих;</w:t>
        <w:br/>
        <w:t>— Контроль: система управления качеством по ГОСТ Р ИСО 9001-2015, статистический контроль процессов (SPC), входной контроль комплектующих;</w:t>
        <w:br/>
        <w:t>— Ресурсное обеспечение: кадры (инженеры-робототехники, сборщики, программисты), оборудование (ЧПУ-станки, координатно-измерительные машины), материалы (алюминиевые сплавы, высокопрочные стали).</w:t>
      </w:r>
    </w:p>
    <w:p>
      <w:pPr>
        <w:pStyle w:val="Heading1"/>
      </w:pPr>
      <w:r>
        <w:t>9. Паспорт проекта и инвестиционная привлекательность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Краткий паспорт проекта: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Наименование: «Разработка промышленного робота-манипулятора РМ-25 для сборочного производства»;</w:t>
        <w:br/>
        <w:t>— Срок реализации: 24 месяца (НИОКР — 18 мес., подготовка производства — 6 мес.);</w:t>
        <w:br/>
        <w:t>— Бюджет НИОКР: 150 млн рублей;</w:t>
        <w:br/>
        <w:t>— Бюджет подготовки серийного производства: 200 млн рублей;</w:t>
        <w:br/>
        <w:t>— Планируемый выпуск: 100 единиц/год с 3-го года;</w:t>
        <w:br/>
        <w:t>— Целевая цена единицы: 5,5–6,0 млн рублей.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Факторы инвестиционной привлекательности: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1. Государственная поддержка: национальный проект по роботизации, субсидии Минпромторга на НИОКР в области промышленной робототехники;</w:t>
        <w:br/>
        <w:t>2. Растущий рынок: рост российского рынка промышленных роботов на 14% в 2025 году, цель — 40 роботов на 10 000 работников к 2030 году;</w:t>
        <w:br/>
        <w:t>3. Импортозамещение: ограничение поставок роботов FANUC, KUKA, ABB создаёт нишу для отечественных производителей;</w:t>
        <w:br/>
        <w:t>4. Окупаемость: прогнозный срок окупаемости — 4 года при серийном производстве.</w:t>
      </w:r>
    </w:p>
    <w:p>
      <w:pPr>
        <w:spacing w:after="40"/>
        <w:jc w:val="both"/>
      </w:pPr>
      <w:r>
        <w:rPr>
          <w:rFonts w:ascii="Times New Roman" w:hAnsi="Times New Roman"/>
          <w:b/>
          <w:sz w:val="28"/>
        </w:rPr>
        <w:t>Ожидаемый эффект: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8"/>
        </w:rPr>
        <w:t>— Экономический: выручка от 550 млн руб./год при выходе на проектную мощность;</w:t>
        <w:br/>
        <w:t>— Технологический: создание отечественной компетенции в области промышленной робототехники;</w:t>
        <w:br/>
        <w:t>— Социальный: создание 80+ рабочих мест (инженеры, сервисные специалисты).</w:t>
      </w:r>
    </w:p>
    <w:p>
      <w:pPr>
        <w:pStyle w:val="Heading1"/>
      </w:pPr>
      <w:r>
        <w:t>Список источников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4"/>
        </w:rPr>
        <w:t>1. ГОСТ Р 56136-2014. Управление жизненным циклом продукции военного назначения. Термины и определения.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4"/>
        </w:rPr>
        <w:t>2. ГОСТ Р ИСО 10218-1-2016. Роботы и робототехнические устройства. Требования безопасности для промышленных роботов. Часть 1. Роботы.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4"/>
        </w:rPr>
        <w:t>3. ГОСТ 15.016-2016. Система разработки и постановки продукции на производство. Техническое задание.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4"/>
        </w:rPr>
        <w:t>4. ГОСТ Р ИСО 9001-2015. Системы менеджмента качества. Требования.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4"/>
        </w:rPr>
        <w:t>5. ТР ТС 010/2011. Технический регламент Таможенного союза «О безопасности машин и оборудования».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4"/>
        </w:rPr>
        <w:t>6. FANUC M-20iD/25. Product Information Datasheet. FANUC Corporation, 2023.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4"/>
        </w:rPr>
        <w:t>7. Российский рынок промышленных роботов прибавил 14% и составил почти 8 миллиардов // CNews, 12.01.2026.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4"/>
        </w:rPr>
        <w:t>8. Алиханов А. Производство промышленных роботов в России в 2025 году — более 700 штук // Интерфакс, 2025.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4"/>
        </w:rPr>
        <w:t>9. ExpoElectronica 2025: обзор российского рынка робототехники // expoelectronica.ru, 2024.</w:t>
      </w:r>
    </w:p>
    <w:p>
      <w:pPr>
        <w:spacing w:after="40"/>
        <w:jc w:val="left"/>
      </w:pPr>
      <w:r>
        <w:rPr>
          <w:rFonts w:ascii="Times New Roman" w:hAnsi="Times New Roman"/>
          <w:b w:val="0"/>
          <w:sz w:val="24"/>
        </w:rPr>
        <w:t>10. Декларация независимости: как в России растёт рынок промышленных роботов // Forbes.ru, 2025.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