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jc w:val="center"/>
      </w:pPr>
      <w:r>
        <w:rPr>
          <w:rFonts w:ascii="Times New Roman" w:hAnsi="Times New Roman" w:eastAsia="Times New Roman"/>
          <w:b/>
          <w:i w:val="0"/>
          <w:sz w:val="24"/>
        </w:rPr>
        <w:t>МИНИСТЕРСТВО НАУКИ И ВЫСШЕГО ОБРАЗОВАНИЯ</w:t>
      </w:r>
    </w:p>
    <w:p>
      <w:pPr>
        <w:spacing w:line="240" w:lineRule="auto" w:after="120"/>
        <w:jc w:val="center"/>
      </w:pPr>
      <w:r>
        <w:rPr>
          <w:rFonts w:ascii="Times New Roman" w:hAnsi="Times New Roman" w:eastAsia="Times New Roman"/>
          <w:b/>
          <w:i w:val="0"/>
          <w:sz w:val="24"/>
        </w:rPr>
        <w:t>РОССИЙСКОЙ ФЕДЕРАЦИИ</w:t>
      </w:r>
    </w:p>
    <w:p>
      <w:pPr>
        <w:spacing w:line="240" w:lineRule="auto" w:after="0"/>
        <w:jc w:val="center"/>
      </w:pPr>
      <w:r>
        <w:rPr>
          <w:rFonts w:ascii="Times New Roman" w:hAnsi="Times New Roman" w:eastAsia="Times New Roman"/>
          <w:b w:val="0"/>
          <w:i w:val="0"/>
          <w:sz w:val="22"/>
        </w:rPr>
        <w:t>Федеральное государственное автономное образовательное учреждение</w:t>
      </w:r>
    </w:p>
    <w:p>
      <w:pPr>
        <w:spacing w:line="240" w:lineRule="auto" w:after="120"/>
        <w:jc w:val="center"/>
      </w:pPr>
      <w:r>
        <w:rPr>
          <w:rFonts w:ascii="Times New Roman" w:hAnsi="Times New Roman" w:eastAsia="Times New Roman"/>
          <w:b w:val="0"/>
          <w:i w:val="0"/>
          <w:sz w:val="22"/>
        </w:rPr>
        <w:t>высшего образования</w:t>
      </w:r>
    </w:p>
    <w:p>
      <w:pPr>
        <w:spacing w:line="240" w:lineRule="auto" w:after="0"/>
        <w:jc w:val="center"/>
      </w:pPr>
      <w:r>
        <w:rPr>
          <w:rFonts w:ascii="Times New Roman" w:hAnsi="Times New Roman" w:eastAsia="Times New Roman"/>
          <w:b/>
          <w:i w:val="0"/>
          <w:sz w:val="24"/>
        </w:rPr>
        <w:t>«САНКТ-ПЕТЕРБУРГСКИЙ ГОСУДАРСТВЕННЫЙ УНИВЕРСИТЕТ</w:t>
      </w:r>
    </w:p>
    <w:p>
      <w:pPr>
        <w:spacing w:line="240" w:lineRule="auto" w:after="120"/>
        <w:jc w:val="center"/>
      </w:pPr>
      <w:r>
        <w:rPr>
          <w:rFonts w:ascii="Times New Roman" w:hAnsi="Times New Roman" w:eastAsia="Times New Roman"/>
          <w:b/>
          <w:i w:val="0"/>
          <w:sz w:val="24"/>
        </w:rPr>
        <w:t>АЭРОКОСМИЧЕСКОГО ПРИБОРОСТРОЕНИЯ»</w:t>
      </w:r>
    </w:p>
    <w:p>
      <w:pPr>
        <w:spacing w:line="240" w:lineRule="auto" w:after="2200"/>
        <w:jc w:val="center"/>
      </w:pPr>
      <w:r>
        <w:rPr>
          <w:rFonts w:ascii="Times New Roman" w:hAnsi="Times New Roman" w:eastAsia="Times New Roman"/>
          <w:b w:val="0"/>
          <w:i w:val="0"/>
          <w:sz w:val="24"/>
        </w:rPr>
        <w:t>Кафедра № 5</w:t>
      </w:r>
    </w:p>
    <w:p>
      <w:pPr>
        <w:spacing w:line="240" w:lineRule="auto" w:after="240"/>
        <w:jc w:val="center"/>
      </w:pPr>
      <w:r>
        <w:rPr>
          <w:rFonts w:ascii="Times New Roman" w:hAnsi="Times New Roman" w:eastAsia="Times New Roman"/>
          <w:b/>
          <w:i w:val="0"/>
          <w:sz w:val="36"/>
        </w:rPr>
        <w:t>ОТВЕТЫ НА ВОПРОСЫ ЭКЗАМЕНА</w:t>
      </w:r>
    </w:p>
    <w:p>
      <w:pPr>
        <w:spacing w:line="240" w:lineRule="auto" w:after="40"/>
        <w:jc w:val="center"/>
      </w:pPr>
      <w:r>
        <w:rPr>
          <w:rFonts w:ascii="Times New Roman" w:hAnsi="Times New Roman" w:eastAsia="Times New Roman"/>
          <w:b w:val="0"/>
          <w:i w:val="0"/>
          <w:sz w:val="28"/>
        </w:rPr>
        <w:t>по дисциплине</w:t>
      </w:r>
    </w:p>
    <w:p>
      <w:pPr>
        <w:spacing w:line="240" w:lineRule="auto" w:after="3600"/>
        <w:jc w:val="center"/>
      </w:pPr>
      <w:r>
        <w:rPr>
          <w:rFonts w:ascii="Times New Roman" w:hAnsi="Times New Roman" w:eastAsia="Times New Roman"/>
          <w:b/>
          <w:i w:val="0"/>
          <w:sz w:val="28"/>
        </w:rPr>
        <w:t>«Теория систем и управление технологическими изменениями»</w:t>
      </w:r>
    </w:p>
    <w:p>
      <w:pPr>
        <w:spacing w:line="240" w:lineRule="auto" w:after="40"/>
        <w:ind w:left="4535"/>
      </w:pPr>
      <w:r>
        <w:rPr>
          <w:rFonts w:ascii="Times New Roman" w:hAnsi="Times New Roman" w:eastAsia="Times New Roman"/>
          <w:b w:val="0"/>
          <w:i w:val="0"/>
          <w:sz w:val="24"/>
        </w:rPr>
        <w:t xml:space="preserve">Преподаватель: </w:t>
      </w:r>
      <w:r>
        <w:rPr>
          <w:rFonts w:ascii="Times New Roman" w:hAnsi="Times New Roman" w:eastAsia="Times New Roman"/>
          <w:b/>
          <w:i w:val="0"/>
          <w:sz w:val="24"/>
        </w:rPr>
        <w:t>Щеников Я. А.</w:t>
      </w:r>
    </w:p>
    <w:p>
      <w:pPr>
        <w:spacing w:line="240" w:lineRule="auto" w:after="40"/>
        <w:ind w:left="4535"/>
      </w:pPr>
      <w:r>
        <w:rPr>
          <w:rFonts w:ascii="Times New Roman" w:hAnsi="Times New Roman" w:eastAsia="Times New Roman"/>
          <w:b w:val="0"/>
          <w:i w:val="0"/>
          <w:sz w:val="24"/>
        </w:rPr>
        <w:t xml:space="preserve">Выполнил студент гр. М558М: </w:t>
      </w:r>
      <w:r>
        <w:rPr>
          <w:rFonts w:ascii="Times New Roman" w:hAnsi="Times New Roman" w:eastAsia="Times New Roman"/>
          <w:b/>
          <w:i w:val="0"/>
          <w:sz w:val="24"/>
        </w:rPr>
        <w:t>Рослов Д.</w:t>
      </w:r>
    </w:p>
    <w:p/>
    <w:p>
      <w:pPr>
        <w:spacing w:line="240" w:lineRule="auto" w:after="0"/>
        <w:jc w:val="center"/>
      </w:pPr>
      <w:r>
        <w:rPr>
          <w:rFonts w:ascii="Times New Roman" w:hAnsi="Times New Roman" w:eastAsia="Times New Roman"/>
          <w:b w:val="0"/>
          <w:i w:val="0"/>
          <w:sz w:val="24"/>
        </w:rPr>
        <w:t>Санкт-Петербург</w:t>
      </w:r>
    </w:p>
    <w:p>
      <w:pPr>
        <w:spacing w:line="240" w:lineRule="auto" w:after="0"/>
        <w:jc w:val="center"/>
      </w:pPr>
      <w:r>
        <w:rPr>
          <w:rFonts w:ascii="Times New Roman" w:hAnsi="Times New Roman" w:eastAsia="Times New Roman"/>
          <w:b w:val="0"/>
          <w:i w:val="0"/>
          <w:sz w:val="24"/>
        </w:rPr>
        <w:t>2026</w:t>
      </w:r>
    </w:p>
    <w:p>
      <w:r>
        <w:br w:type="page"/>
      </w:r>
    </w:p>
    <w:p>
      <w:pPr>
        <w:spacing w:after="160"/>
        <w:jc w:val="center"/>
      </w:pPr>
      <w:r>
        <w:rPr>
          <w:rFonts w:ascii="Times New Roman" w:hAnsi="Times New Roman" w:eastAsia="Times New Roman"/>
          <w:b/>
          <w:i w:val="0"/>
          <w:sz w:val="26"/>
        </w:rPr>
        <w:t>ВОПРОСЫ К ЭКЗАМЕНУ (Глава 5. Цели и задачи управления в КФС)</w:t>
      </w:r>
    </w:p>
    <w:p>
      <w:pPr>
        <w:spacing w:before="200" w:after="80"/>
      </w:pPr>
      <w:r>
        <w:rPr>
          <w:rFonts w:ascii="Times New Roman" w:hAnsi="Times New Roman" w:eastAsia="Times New Roman"/>
          <w:b/>
          <w:i w:val="0"/>
          <w:sz w:val="28"/>
        </w:rPr>
        <w:t>1. Приведите информационные и термодинамические основы моделирования киберфизических систем</w:t>
      </w:r>
    </w:p>
    <w:p>
      <w:pPr>
        <w:ind w:firstLine="709"/>
        <w:jc w:val="both"/>
      </w:pPr>
      <w:r>
        <w:rPr>
          <w:rFonts w:ascii="Times New Roman" w:hAnsi="Times New Roman" w:eastAsia="Times New Roman"/>
          <w:b w:val="0"/>
          <w:i w:val="0"/>
          <w:sz w:val="28"/>
        </w:rPr>
        <w:t>Математические модели киберфизических систем используются в зависимости от проблемной области, в которой создаются конкретные киберфизические системы. Инновационная деятельность развивается как минимум в двух направлениях: генерация инноваций и создание новшеств разного уровня, а также повышение энергоэффективности инновации. Каждая последующая инновация, созданная для решения конкретной проблемы, обладает наилучшей энергоэффективностью, понимаемой прямо или косвенно. Классические законы термодинамики и их «инженерные» интерпретации могут быть применены для анализа и синтеза киберфизических систем в проблемных областях. Применение закона сохранения энергии и его частных случаев для различных сред обеспечивает целенаправленное поведение киберфизических систем. Информационная энтропия служит мерой неопределённости в теории информации: она увеличивается при неупорядоченном распределении информационных ресурсов и уменьшается при их упорядочении. Квантовая теория информации напрямую связывает информацию с энергией через энтропию фон Неймана, которую можно считать основной физической характеристикой энергоинформационного процесса: изменение информации сопровождается изменением энергии, а обмен информацией напрямую связан с обменом энергией.</w:t>
      </w:r>
    </w:p>
    <w:p>
      <w:pPr>
        <w:spacing w:before="200" w:after="80"/>
      </w:pPr>
      <w:r>
        <w:rPr>
          <w:rFonts w:ascii="Times New Roman" w:hAnsi="Times New Roman" w:eastAsia="Times New Roman"/>
          <w:b/>
          <w:i w:val="0"/>
          <w:sz w:val="28"/>
        </w:rPr>
        <w:t>2. Охарактеризуйте управление качеством и энергоэффективность сложных киберфизических систем</w:t>
      </w:r>
    </w:p>
    <w:p>
      <w:pPr>
        <w:ind w:firstLine="709"/>
        <w:jc w:val="both"/>
      </w:pPr>
      <w:r>
        <w:rPr>
          <w:rFonts w:ascii="Times New Roman" w:hAnsi="Times New Roman" w:eastAsia="Times New Roman"/>
          <w:b w:val="0"/>
          <w:i w:val="0"/>
          <w:sz w:val="28"/>
        </w:rPr>
        <w:t>Качество представляет собой одну из главных составляющих потребительской ценности наряду с основными компонентами производственного цикла и удовлетворённостью потребителей. Управление качеством — это деятельность по удовлетворению потребностей или ожиданий, которые установлены, обычно предполагаются или являются обязательными; она включает разработку и применение моделей, методов и критериев качества. Для управления качеством самих киберфизических систем необходимо сформировать набор измеримых показателей результативности и критерий, соответствующий цели. При формировании критерия должны учитываться особенности показателей, их значимость и взаимозависимость. Предложена полилинейная функция полезности вида:</w:t>
      </w:r>
    </w:p>
    <w:p>
      <w:pPr>
        <w:ind w:firstLine="709"/>
        <w:jc w:val="both"/>
      </w:pPr>
      <w:r>
        <w:rPr>
          <w:rFonts w:ascii="Times New Roman" w:hAnsi="Times New Roman" w:eastAsia="Times New Roman"/>
          <w:b/>
          <w:i w:val="0"/>
          <w:sz w:val="28"/>
        </w:rPr>
        <w:t>F(xᵢ) = Σⱼ λⱼ fⱼ(xᵢ) + Σⱼ,ₖ λⱼₖ fⱼ(xᵢ)fₖ(xᵢ) + ... + λ₁₂...ₙ f₁(xᵢ)...fₙ(xᵢ)</w:t>
      </w:r>
    </w:p>
    <w:p>
      <w:pPr>
        <w:ind w:firstLine="709"/>
        <w:jc w:val="both"/>
      </w:pPr>
      <w:r>
        <w:rPr>
          <w:rFonts w:ascii="Times New Roman" w:hAnsi="Times New Roman" w:eastAsia="Times New Roman"/>
          <w:b w:val="0"/>
          <w:i w:val="0"/>
          <w:sz w:val="28"/>
        </w:rPr>
        <w:t>где fⱼ(xᵢ) — частный критерий; λⱼ — коэффициент относительной важности критерия fⱼ(xᵢ); F(xᵢ) — функция полезности или критерий качества выбираемой альтернативы. Когда требования безопасности подлежат безусловному выполнению, критерий принимает мультипликативную форму. Если показатели качества независимы, критерий принимает аддитивную форму: F(xᵢ) = Σⱼ λⱼ fⱼ(xᵢ), где Σλⱼ = 1. Коэффициенты важности λⱼ, λⱼₖ...ₙ определяются аналитическими, статистическими и экспертными методами.</w:t>
      </w:r>
    </w:p>
    <w:p>
      <w:pPr>
        <w:ind w:firstLine="709"/>
        <w:jc w:val="both"/>
      </w:pPr>
      <w:r>
        <w:rPr>
          <w:rFonts w:ascii="Times New Roman" w:hAnsi="Times New Roman" w:eastAsia="Times New Roman"/>
          <w:b w:val="0"/>
          <w:i w:val="0"/>
          <w:sz w:val="28"/>
        </w:rPr>
        <w:t>Концепция System-of-Systems (SoS) — система, состоящая из компонентов, которые сами по себе являются ведущими и функционально независимыми, физически разделёнными, постоянно развивающимися и сотрудничающими; такие свойства обеспечивают интеграцию при достижении глобальной цели, к которой относится и энергоэффективность. SoS определяет пять ключевых особенностей: независимость компонентов общей системы; независимость контроля управления компонентом системы; географическое распространение; возникающее поведение; эволюционные процессы развития. Киберфизические системы и SoS имеют много общего: многие киберфизические системы состоят из независимых компонентов и, подобно SoS, решают проблемы зависимости, развития и распространения. Первичной целью в проблемной области может быть достижение максимальной энергоэффективности; во всяком случае энергоэффективность всегда присутствует как важнейший критерий при выборе вариантов системы. Рассмотрение энергоэффективности осуществляется в рамках закона сохранения энергии в замкнутой физической системе: может рассматриваться последовательность преобразований одного вида энергии в другой, выделение исходного источника, «полезной» энергии и потерь, что позволяет корректно определять энергетическую эффективность любой системы, в том числе киберфизической.</w:t>
      </w:r>
    </w:p>
    <w:p>
      <w:pPr>
        <w:spacing w:before="200" w:after="80"/>
      </w:pPr>
      <w:r>
        <w:rPr>
          <w:rFonts w:ascii="Times New Roman" w:hAnsi="Times New Roman" w:eastAsia="Times New Roman"/>
          <w:b/>
          <w:i w:val="0"/>
          <w:sz w:val="28"/>
        </w:rPr>
        <w:t>3. Приведите цели и задачи управления в киберфизических системах</w:t>
      </w:r>
    </w:p>
    <w:p>
      <w:pPr>
        <w:ind w:firstLine="709"/>
        <w:jc w:val="both"/>
      </w:pPr>
      <w:r>
        <w:rPr>
          <w:rFonts w:ascii="Times New Roman" w:hAnsi="Times New Roman" w:eastAsia="Times New Roman"/>
          <w:b w:val="0"/>
          <w:i w:val="0"/>
          <w:sz w:val="28"/>
        </w:rPr>
        <w:t>Процесс функционирования системы направлен на достижение цели; при отсутствии цели и измеряемого результата смысл понятия системы становится неопределённым. При достижении системой конечной цели эта цель в виде достигнутых результатов становится локальной частью для композиции цели более высокого уровня. В технике и технических науках цель может быть задана в виде требований, сформулированных в рамках некоторой проблемной области. Обычно проблемная область представлена иерархической структурой, и декомпозиция целей изоморфна такой структуре. Первичной целью в проблемной области может быть достижение максимальной энергоэффективности: в ряде проблемных областей такая цель очевидна, в других её первичность может быть показана опосредованно. В наиболее общей постановке цели должны соответствовать известным законам физики, важнейшими из которых являются законы сохранения. Главной задачей промышленных киберфизических систем и промышленного интернета вещей является внедрение в производство для повышения качества продукции.</w:t>
      </w:r>
    </w:p>
    <w:p>
      <w:pPr>
        <w:spacing w:before="200" w:after="80"/>
      </w:pPr>
      <w:r>
        <w:rPr>
          <w:rFonts w:ascii="Times New Roman" w:hAnsi="Times New Roman" w:eastAsia="Times New Roman"/>
          <w:b/>
          <w:i w:val="0"/>
          <w:sz w:val="28"/>
        </w:rPr>
        <w:t>4. Информационные и термодинамические основы моделирования киберфизических систем</w:t>
      </w:r>
    </w:p>
    <w:p>
      <w:pPr>
        <w:ind w:firstLine="709"/>
        <w:jc w:val="both"/>
      </w:pPr>
      <w:r>
        <w:rPr>
          <w:rFonts w:ascii="Times New Roman" w:hAnsi="Times New Roman" w:eastAsia="Times New Roman"/>
          <w:b w:val="0"/>
          <w:i w:val="0"/>
          <w:sz w:val="28"/>
        </w:rPr>
        <w:t>Математические модели киберфизических систем используются в зависимости от проблемной области, в которой создаются конкретные киберфизические системы. Инновационная деятельность развивается как минимум в двух направлениях: генерация инноваций и создание новшеств разного уровня, а также повышение энергоэффективности инновации. Каждая последующая инновация, созданная для решения конкретной проблемы, обладает наилучшей энергоэффективностью, понимаемой прямо или косвенно. Классические законы термодинамики и их «инженерные» интерпретации могут быть применены для анализа и синтеза киберфизических систем в проблемных областях. Применение закона сохранения энергии и его частных случаев для различных сред обеспечивает целенаправленное поведение киберфизических систем. Информационная энтропия служит мерой неопределённости в теории информации: она увеличивается при неупорядоченном распределении информационных ресурсов и уменьшается при их упорядочении. Квантовая теория информации напрямую связывает информацию с энергией через энтропию фон Неймана, которую можно считать основной физической характеристикой энергоинформационного процесса: изменение информации сопровождается изменением энергии, а обмен информацией напрямую связан с обменом энергией.</w:t>
      </w:r>
    </w:p>
    <w:p>
      <w:pPr>
        <w:spacing w:before="200" w:after="80"/>
      </w:pPr>
      <w:r>
        <w:rPr>
          <w:rFonts w:ascii="Times New Roman" w:hAnsi="Times New Roman" w:eastAsia="Times New Roman"/>
          <w:b/>
          <w:i w:val="0"/>
          <w:sz w:val="28"/>
        </w:rPr>
        <w:t>5. Охарактеризуйте управление качеством и энергоэффективность сложных киберфизических систем</w:t>
      </w:r>
    </w:p>
    <w:p>
      <w:pPr>
        <w:ind w:firstLine="709"/>
        <w:jc w:val="both"/>
      </w:pPr>
      <w:r>
        <w:rPr>
          <w:rFonts w:ascii="Times New Roman" w:hAnsi="Times New Roman" w:eastAsia="Times New Roman"/>
          <w:b w:val="0"/>
          <w:i w:val="0"/>
          <w:sz w:val="28"/>
        </w:rPr>
        <w:t>Качество представляет собой одну из главных составляющих потребительской ценности наряду с основными компонентами производственного цикла и удовлетворённостью потребителей. Управление качеством — это деятельность по удовлетворению потребностей или ожиданий, которые установлены, обычно предполагаются или являются обязательными; она включает разработку и применение моделей, методов и критериев качества. Для управления качеством самих киберфизических систем необходимо сформировать набор измеримых показателей результативности и критерий, соответствующий цели. При формировании критерия должны учитываться особенности показателей, их значимость и взаимозависимость. Предложена полилинейная функция полезности вида:</w:t>
      </w:r>
    </w:p>
    <w:p>
      <w:pPr>
        <w:ind w:firstLine="709"/>
        <w:jc w:val="both"/>
      </w:pPr>
      <w:r>
        <w:rPr>
          <w:rFonts w:ascii="Times New Roman" w:hAnsi="Times New Roman" w:eastAsia="Times New Roman"/>
          <w:b/>
          <w:i w:val="0"/>
          <w:sz w:val="28"/>
        </w:rPr>
        <w:t>F(xᵢ) = Σⱼ λⱼ fⱼ(xᵢ) + Σⱼ,ₖ λⱼₖ fⱼ(xᵢ)fₖ(xᵢ) + ... + λ₁₂...ₙ f₁(xᵢ)...fₙ(xᵢ)</w:t>
      </w:r>
    </w:p>
    <w:p>
      <w:pPr>
        <w:ind w:firstLine="709"/>
        <w:jc w:val="both"/>
      </w:pPr>
      <w:r>
        <w:rPr>
          <w:rFonts w:ascii="Times New Roman" w:hAnsi="Times New Roman" w:eastAsia="Times New Roman"/>
          <w:b w:val="0"/>
          <w:i w:val="0"/>
          <w:sz w:val="28"/>
        </w:rPr>
        <w:t>где fⱼ(xᵢ) — частный критерий; λⱼ — коэффициент относительной важности критерия fⱼ(xᵢ); F(xᵢ) — функция полезности или критерий качества выбираемой альтернативы. Когда требования безопасности подлежат безусловному выполнению, критерий принимает мультипликативную форму. Если показатели качества независимы, критерий принимает аддитивную форму: F(xᵢ) = Σⱼ λⱼ fⱼ(xᵢ), где Σλⱼ = 1. Коэффициенты важности λⱼ, λⱼₖ...ₙ определяются аналитическими, статистическими и экспертными методами.</w:t>
      </w:r>
    </w:p>
    <w:p>
      <w:pPr>
        <w:ind w:firstLine="709"/>
        <w:jc w:val="both"/>
      </w:pPr>
      <w:r>
        <w:rPr>
          <w:rFonts w:ascii="Times New Roman" w:hAnsi="Times New Roman" w:eastAsia="Times New Roman"/>
          <w:b w:val="0"/>
          <w:i w:val="0"/>
          <w:sz w:val="28"/>
        </w:rPr>
        <w:t>Концепция System-of-Systems (SoS) — система, состоящая из компонентов, которые сами по себе являются ведущими и функционально независимыми, физически разделёнными, постоянно развивающимися и сотрудничающими; такие свойства обеспечивают интеграцию при достижении глобальной цели, к которой относится и энергоэффективность. SoS определяет пять ключевых особенностей: независимость компонентов общей системы; независимость контроля управления компонентом системы; географическое распространение; возникающее поведение; эволюционные процессы развития. Киберфизические системы и SoS имеют много общего: многие киберфизические системы состоят из независимых компонентов и, подобно SoS, решают проблемы зависимости, развития и распространения. Первичной целью в проблемной области может быть достижение максимальной энергоэффективности; во всяком случае энергоэффективность всегда присутствует как важнейший критерий при выборе вариантов системы. Рассмотрение энергоэффективности осуществляется в рамках закона сохранения энергии в замкнутой физической системе: может рассматриваться последовательность преобразований одного вида энергии в другой, выделение исходного источника, «полезной» энергии и потерь, что позволяет корректно определять энергетическую эффективность любой системы, в том числе киберфизической.</w:t>
      </w:r>
    </w:p>
    <w:p>
      <w:pPr>
        <w:spacing w:before="200" w:after="80"/>
      </w:pPr>
      <w:r>
        <w:rPr>
          <w:rFonts w:ascii="Times New Roman" w:hAnsi="Times New Roman" w:eastAsia="Times New Roman"/>
          <w:b/>
          <w:i w:val="0"/>
          <w:sz w:val="28"/>
        </w:rPr>
        <w:t>6. Термодинамическая и информационная энтропии киберфизической системы</w:t>
      </w:r>
    </w:p>
    <w:p>
      <w:pPr>
        <w:ind w:firstLine="709"/>
        <w:jc w:val="both"/>
      </w:pPr>
      <w:r>
        <w:rPr>
          <w:rFonts w:ascii="Times New Roman" w:hAnsi="Times New Roman" w:eastAsia="Times New Roman"/>
          <w:b w:val="0"/>
          <w:i w:val="0"/>
          <w:sz w:val="28"/>
        </w:rPr>
        <w:t>Группа понятий «энтропия», введённых в общей и квантовой физике, используется для представления и характеристики термодинамических и информационных процессов. Энтропия определяет меру необратимого рассеяния энергии в термодинамике. В статистической термодинамике термодинамическая энтропия выражается числом микросостояний, необходимых для реализации макросостояния; она отражает свойства физической подсистемы, служит объектом воздействия со стороны кибернетической подсистемы, представляет собой меру беспорядка и характеризует неопределённость. Информационная энтропия служит мерой неопределённости в теории информации: она увеличивается при неупорядоченном распределении информационных ресурсов и уменьшается при их упорядочении. Определение взаимосвязи между термодинамической и информационной энтропией является дискуссионной задачей; совместное использование критериев, построенных на их основе, способствует раскрытию неопределённостей с помощью киберфизической системы. Квантовая теория информации напрямую связывает информацию с энергией через энтропию фон Неймана, которую можно считать основной физической характеристикой энергоинформационного процесса.</w:t>
      </w:r>
    </w:p>
    <w:p>
      <w:pPr>
        <w:spacing w:before="200" w:after="80"/>
      </w:pPr>
      <w:r>
        <w:rPr>
          <w:rFonts w:ascii="Times New Roman" w:hAnsi="Times New Roman" w:eastAsia="Times New Roman"/>
          <w:b/>
          <w:i w:val="0"/>
          <w:sz w:val="28"/>
        </w:rPr>
        <w:t>7. Энергоэффективность как цель киберфизической системы</w:t>
      </w:r>
    </w:p>
    <w:p>
      <w:pPr>
        <w:ind w:firstLine="709"/>
        <w:jc w:val="both"/>
      </w:pPr>
      <w:r>
        <w:rPr>
          <w:rFonts w:ascii="Times New Roman" w:hAnsi="Times New Roman" w:eastAsia="Times New Roman"/>
          <w:b w:val="0"/>
          <w:i w:val="0"/>
          <w:sz w:val="28"/>
        </w:rPr>
        <w:t>Концепция System-of-Systems (SoS) — система, состоящая из компонентов, которые сами по себе являются ведущими и функционально независимыми, физически разделёнными, постоянно развивающимися и сотрудничающими; такие свойства обеспечивают интеграцию при достижении глобальной цели, к которой относится и энергоэффективность. SoS определяет пять ключевых особенностей: независимость компонентов общей системы; независимость контроля управления компонентом системы; географическое распространение; возникающее поведение; эволюционные процессы развития. Киберфизические системы и SoS имеют много общего: многие киберфизические системы состоят из независимых компонентов и, подобно SoS, решают проблемы зависимости, развития и распространения. Первичной целью в проблемной области может быть достижение максимальной энергоэффективности; во всяком случае энергоэффективность всегда присутствует как важнейший критерий при выборе вариантов системы. Рассмотрение энергоэффективности осуществляется в рамках закона сохранения энергии в замкнутой физической системе: может рассматриваться последовательность преобразований одного вида энергии в другой, выделение исходного источника, «полезной» энергии и потерь, что позволяет корректно определять энергетическую эффективность любой системы, в том числе киберфизической.</w:t>
      </w:r>
    </w:p>
    <w:p>
      <w:pPr>
        <w:spacing w:before="200" w:after="80"/>
      </w:pPr>
      <w:r>
        <w:rPr>
          <w:rFonts w:ascii="Times New Roman" w:hAnsi="Times New Roman" w:eastAsia="Times New Roman"/>
          <w:b/>
          <w:i w:val="0"/>
          <w:sz w:val="28"/>
        </w:rPr>
        <w:t>8. Проблемы моделирования киберфизических систем</w:t>
      </w:r>
    </w:p>
    <w:p>
      <w:pPr>
        <w:ind w:firstLine="709"/>
        <w:jc w:val="both"/>
      </w:pPr>
      <w:r>
        <w:rPr>
          <w:rFonts w:ascii="Times New Roman" w:hAnsi="Times New Roman" w:eastAsia="Times New Roman"/>
          <w:b w:val="0"/>
          <w:i w:val="0"/>
          <w:sz w:val="28"/>
        </w:rPr>
        <w:t>Подход к моделированию киберфизических систем состоит в представлении физической подсистемы и происходящих в ней процессов с позиций интегральной и локальных форм закона сохранения энергии. Гетерогенность киберфизической системы обусловлена не только наличием «кибернетической» и «физической» подсистем, но и возможным наличием разных видов физических подсистем, что характерно для многих производственных и технологических процессов. Сложность моделирования связана с необходимостью нахождения баланса между непрерывными и дискретными подсистемами, используя не всегда определённые представления взаимодействия физической и цифровой сред. Особую проблему представляет синхронизация изменений состояний компьютерных, сетевых и физических подсистем, а также совершенствование вычислительных и сетевых методов, которые не в полной мере позволяют учитывать наложение физических процессов. Достижение максимума эффективности киберфизических систем связано с построением математических моделей «вход-выход», формированием и выбором вариантов технологических инноваций, экспериментальной работой с трудноформализуемыми объектами. Дальнейшее развитие подхода должно обеспечиваться информационными средствами системы: использованные модели на базе локальных законов сохранения должны быть адаптированы для внедрения в реальные системы, что включает выбор и расчёт коэффициентов, организацию информационных каналов, обоснование значений параметров и ограничений.</w:t>
      </w:r>
    </w:p>
    <w:p>
      <w:r>
        <w:br w:type="page"/>
      </w:r>
    </w:p>
    <w:p>
      <w:pPr>
        <w:spacing w:after="160"/>
        <w:jc w:val="center"/>
      </w:pPr>
      <w:r>
        <w:rPr>
          <w:rFonts w:ascii="Times New Roman" w:hAnsi="Times New Roman" w:eastAsia="Times New Roman"/>
          <w:b/>
          <w:i w:val="0"/>
          <w:sz w:val="26"/>
        </w:rPr>
        <w:t>ВОПРОСЫ К ЭКЗАМЕНУ (Глава 6. Жизненный цикл КФС)</w:t>
      </w:r>
    </w:p>
    <w:p>
      <w:pPr>
        <w:spacing w:before="200" w:after="80"/>
      </w:pPr>
      <w:r>
        <w:rPr>
          <w:rFonts w:ascii="Times New Roman" w:hAnsi="Times New Roman" w:eastAsia="Times New Roman"/>
          <w:b/>
          <w:i w:val="0"/>
          <w:sz w:val="28"/>
        </w:rPr>
        <w:t>1. Назовите несколько отличий коллаборативного робота от классического промышленного робота</w:t>
      </w:r>
    </w:p>
    <w:p>
      <w:pPr>
        <w:ind w:firstLine="709"/>
        <w:jc w:val="both"/>
      </w:pPr>
      <w:r>
        <w:rPr>
          <w:rFonts w:ascii="Times New Roman" w:hAnsi="Times New Roman" w:eastAsia="Times New Roman"/>
          <w:b w:val="0"/>
          <w:i w:val="0"/>
          <w:sz w:val="28"/>
        </w:rPr>
        <w:t>Коллаборативный робот (кобот) — это робот, выполняющий совместно с человеком работу в одном замкнутом пространстве. В отличие от классических промышленных роботов, коботы легче программируются и оснащаются системами безопасности, позволяющими им работать в непосредственной близости от работника-человека, тогда как промышленный робот работает в клетке. Коботы могут обучаться через подражание действиям человека, получать рабочие инструкции через графический пользовательский интерфейс, тогда как классические роботы требуют профессионального программирования. Коботы не требуют больших инвестиций, потребляют мало электроэнергии и не имеют серьёзных требований к установке и эксплуатации — в отличие от тяжёлых промышленных роботов. Вместе с тем коботы имеют относительно низкую скорость работы (из-за необходимости учитывать наличие людей поблизости) и невысокую грузоподъёмность — не более 10 кг. Перепрограммирование кобота на другую операцию зачастую не требует специалиста высокой квалификации и занимает не более 30 минут.</w:t>
      </w:r>
    </w:p>
    <w:p>
      <w:pPr>
        <w:spacing w:before="200" w:after="80"/>
      </w:pPr>
      <w:r>
        <w:rPr>
          <w:rFonts w:ascii="Times New Roman" w:hAnsi="Times New Roman" w:eastAsia="Times New Roman"/>
          <w:b/>
          <w:i w:val="0"/>
          <w:sz w:val="28"/>
        </w:rPr>
        <w:t>2. С помощью каких технических систем робот может распознавать действия находящегося рядом человека?</w:t>
      </w:r>
    </w:p>
    <w:p>
      <w:pPr>
        <w:ind w:firstLine="709"/>
        <w:jc w:val="both"/>
      </w:pPr>
      <w:r>
        <w:rPr>
          <w:rFonts w:ascii="Times New Roman" w:hAnsi="Times New Roman" w:eastAsia="Times New Roman"/>
          <w:b w:val="0"/>
          <w:i w:val="0"/>
          <w:sz w:val="28"/>
        </w:rPr>
        <w:t>Различными исследовательскими группами рассматриваются три основных способа съёма информации о движениях человека-оператора. Первый — управление с помощью педалей: простейший способ, обладающий достоинствами простоты, дешевизны и высокой ремонтопригодности, однако обеспечивающий ограниченный набор команд из-за малого числа степеней свободы. Второй — съём информации с помощью акселерометра или акселерометров, прикреплённых к рукам работника-человека: любое действие работника вызывает уникальный отклик сигнала по координатам X, Y и Z, который распознаётся программно-аппаратной системой. Сигналы с осей X, Y, Z могут суммироваться и передаваться на распознающую искусственную нейронную сеть по радиоканалу, что избавляет работника от мешающих проводов. Третий способ — визуальный съём информации с помощью видеокамеры. В практическом инженерном решении кобота-ассистента монтажника применяется браслет с акселерометром на руке оператора: блок управления коботом распознаёт движения оператора и в ответ на них ассистирует, например вращая платформу с печатной платой.</w:t>
      </w:r>
    </w:p>
    <w:p>
      <w:pPr>
        <w:spacing w:before="200" w:after="80"/>
      </w:pPr>
      <w:r>
        <w:rPr>
          <w:rFonts w:ascii="Times New Roman" w:hAnsi="Times New Roman" w:eastAsia="Times New Roman"/>
          <w:b/>
          <w:i w:val="0"/>
          <w:sz w:val="28"/>
        </w:rPr>
        <w:t>3. Что такое «обучающая выборка»? Как её сформировать и использовать для обучения искусственной нейронной сети?</w:t>
      </w:r>
    </w:p>
    <w:p>
      <w:pPr>
        <w:ind w:firstLine="709"/>
        <w:jc w:val="both"/>
      </w:pPr>
      <w:r>
        <w:rPr>
          <w:rFonts w:ascii="Times New Roman" w:hAnsi="Times New Roman" w:eastAsia="Times New Roman"/>
          <w:b w:val="0"/>
          <w:i w:val="0"/>
          <w:sz w:val="28"/>
        </w:rPr>
        <w:t>Обучающая выборка — это набор пар «входной образ — соответствующий выходной вектор», используемый для настройки (обучения) искусственной нейронной сети. При формировании обучающей выборки фрагменту сигнала, соответствующего распознаваемому действию монтажника, должен соответствовать определённый вектор сигналов на выходе искусственной нейронной сети. На практике входной образ формируется из последовательности отсчётов сигнала, полученного с акселерометра (сигнал X+Y+Z проходит дискретизацию и квантование), и представляется в виде вектора измерений, взятого с помощью скользящего окна. Для задачи диагностики технического состояния оборудования обучающая выборка включает числовые векторы показаний датчиков (ток, напряжение, скорость, вибрация, температура) в качестве входных данных, а в качестве выходных — двоичный вектор, в котором «1» соответствует наличию неисправности определённого типа, а «0» — её отсутствию. После обучения на подобной выборке ИНС приобретает способность классифицировать новые поступающие данные и распознавать как нормальный режим работы, так и различные классы неисправностей.</w:t>
      </w:r>
    </w:p>
    <w:p>
      <w:pPr>
        <w:spacing w:before="200" w:after="80"/>
      </w:pPr>
      <w:r>
        <w:rPr>
          <w:rFonts w:ascii="Times New Roman" w:hAnsi="Times New Roman" w:eastAsia="Times New Roman"/>
          <w:b/>
          <w:i w:val="0"/>
          <w:sz w:val="28"/>
        </w:rPr>
        <w:t>4. Какие физические величины измеряют датчики, установленные на производственном оборудовании и использующиеся для предиктивного обслуживания?</w:t>
      </w:r>
    </w:p>
    <w:p>
      <w:pPr>
        <w:ind w:firstLine="709"/>
        <w:jc w:val="both"/>
      </w:pPr>
      <w:r>
        <w:rPr>
          <w:rFonts w:ascii="Times New Roman" w:hAnsi="Times New Roman" w:eastAsia="Times New Roman"/>
          <w:b w:val="0"/>
          <w:i w:val="0"/>
          <w:sz w:val="28"/>
        </w:rPr>
        <w:t xml:space="preserve">Система диагностики технического состояния с использованием искусственной нейронной сети опирается на датчики, которые регистрируют состояние различных электрических и механических параметров оборудования. К измеряемым физическим величинам относятся: </w:t>
      </w:r>
      <w:r>
        <w:rPr>
          <w:rFonts w:ascii="Times New Roman" w:hAnsi="Times New Roman" w:eastAsia="Times New Roman"/>
          <w:b/>
          <w:i w:val="0"/>
          <w:sz w:val="28"/>
        </w:rPr>
        <w:t>ток</w:t>
      </w:r>
      <w:r>
        <w:rPr>
          <w:rFonts w:ascii="Times New Roman" w:hAnsi="Times New Roman" w:eastAsia="Times New Roman"/>
          <w:b w:val="0"/>
          <w:i w:val="0"/>
          <w:sz w:val="28"/>
        </w:rPr>
        <w:t xml:space="preserve"> (в амперах), </w:t>
      </w:r>
      <w:r>
        <w:rPr>
          <w:rFonts w:ascii="Times New Roman" w:hAnsi="Times New Roman" w:eastAsia="Times New Roman"/>
          <w:b/>
          <w:i w:val="0"/>
          <w:sz w:val="28"/>
        </w:rPr>
        <w:t>напряжение</w:t>
      </w:r>
      <w:r>
        <w:rPr>
          <w:rFonts w:ascii="Times New Roman" w:hAnsi="Times New Roman" w:eastAsia="Times New Roman"/>
          <w:b w:val="0"/>
          <w:i w:val="0"/>
          <w:sz w:val="28"/>
        </w:rPr>
        <w:t xml:space="preserve"> (в вольтах), </w:t>
      </w:r>
      <w:r>
        <w:rPr>
          <w:rFonts w:ascii="Times New Roman" w:hAnsi="Times New Roman" w:eastAsia="Times New Roman"/>
          <w:b/>
          <w:i w:val="0"/>
          <w:sz w:val="28"/>
        </w:rPr>
        <w:t>скорость</w:t>
      </w:r>
      <w:r>
        <w:rPr>
          <w:rFonts w:ascii="Times New Roman" w:hAnsi="Times New Roman" w:eastAsia="Times New Roman"/>
          <w:b w:val="0"/>
          <w:i w:val="0"/>
          <w:sz w:val="28"/>
        </w:rPr>
        <w:t xml:space="preserve"> (в об/сек), </w:t>
      </w:r>
      <w:r>
        <w:rPr>
          <w:rFonts w:ascii="Times New Roman" w:hAnsi="Times New Roman" w:eastAsia="Times New Roman"/>
          <w:b/>
          <w:i w:val="0"/>
          <w:sz w:val="28"/>
        </w:rPr>
        <w:t>вибрация</w:t>
      </w:r>
      <w:r>
        <w:rPr>
          <w:rFonts w:ascii="Times New Roman" w:hAnsi="Times New Roman" w:eastAsia="Times New Roman"/>
          <w:b w:val="0"/>
          <w:i w:val="0"/>
          <w:sz w:val="28"/>
        </w:rPr>
        <w:t xml:space="preserve"> (в мм) и </w:t>
      </w:r>
      <w:r>
        <w:rPr>
          <w:rFonts w:ascii="Times New Roman" w:hAnsi="Times New Roman" w:eastAsia="Times New Roman"/>
          <w:b/>
          <w:i w:val="0"/>
          <w:sz w:val="28"/>
        </w:rPr>
        <w:t>температура</w:t>
      </w:r>
      <w:r>
        <w:rPr>
          <w:rFonts w:ascii="Times New Roman" w:hAnsi="Times New Roman" w:eastAsia="Times New Roman"/>
          <w:b w:val="0"/>
          <w:i w:val="0"/>
          <w:sz w:val="28"/>
        </w:rPr>
        <w:t xml:space="preserve"> (в °C). Прогностическое обслуживание подразумевает использование различных методов измерения, позволяющих реализовать раннее обнаружение медленно развивающихся неисправностей: вибрационных, ультразвуковых и акустических измерений. Обработка данных с датчиков может производиться как средствами встроенных микроконтроллеров, так и с использованием удалённых вычислительных мощностей, включая методы искусственного интеллекта.</w:t>
      </w:r>
    </w:p>
    <w:p>
      <w:pPr>
        <w:spacing w:before="200" w:after="80"/>
      </w:pPr>
      <w:r>
        <w:rPr>
          <w:rFonts w:ascii="Times New Roman" w:hAnsi="Times New Roman" w:eastAsia="Times New Roman"/>
          <w:b/>
          <w:i w:val="0"/>
          <w:sz w:val="28"/>
        </w:rPr>
        <w:t>5. Объясните своими словами принцип работы системы мониторинга технического состояния оборудования с использованием искусственной нейронной сети</w:t>
      </w:r>
    </w:p>
    <w:p>
      <w:pPr>
        <w:ind w:firstLine="709"/>
        <w:jc w:val="both"/>
      </w:pPr>
      <w:r>
        <w:rPr>
          <w:rFonts w:ascii="Times New Roman" w:hAnsi="Times New Roman" w:eastAsia="Times New Roman"/>
          <w:b w:val="0"/>
          <w:i w:val="0"/>
          <w:sz w:val="28"/>
        </w:rPr>
        <w:t>Диагностика неисправностей оборудования во многом похожа на задачу распознавания образов, с которой прекрасно справляются искусственные нейронные сети. Система состоит из датчиков, регистрирующих электрические и механические параметры оборудования (ток, напряжение, скорость, вибрацию, температуру), данные с которых подаются на вход предварительно обученной ИНС в виде числового вектора. ИНС классифицирует поступающую информацию о состоянии электрических и механических агрегатов и связывает входной образ с одним из классов на выходе: «норма» или «неисправность» определённого типа — механическая или электрическая, класса 1–4. При обучении каждому входному вектору ставится в соответствие двоичный выходной вектор, где «1» означает наличие неисправности, «0» — её отсутствие. Хорошо обученная ИНС, регистрируя данные с датчиков в реальном времени, способна достаточно точно предсказать появление проблем в работе оборудования. В случае когда возникшая проблема начинает представлять реальную опасность вывести оборудование из строя, ИНС может самостоятельно выключить оборудование, выведя его из зоны опасного режима эксплуатации — скорость реакции подобных систем выше, чем у оператора-человека.</w:t>
      </w:r>
    </w:p>
    <w:p>
      <w:pPr>
        <w:spacing w:before="200" w:after="80"/>
      </w:pPr>
      <w:r>
        <w:rPr>
          <w:rFonts w:ascii="Times New Roman" w:hAnsi="Times New Roman" w:eastAsia="Times New Roman"/>
          <w:b/>
          <w:i w:val="0"/>
          <w:sz w:val="28"/>
        </w:rPr>
        <w:t>6. Какие косвенные признаки можно наблюдать при выходе производственного оборудования из строя?</w:t>
      </w:r>
    </w:p>
    <w:p>
      <w:pPr>
        <w:ind w:firstLine="709"/>
        <w:jc w:val="both"/>
      </w:pPr>
      <w:r>
        <w:rPr>
          <w:rFonts w:ascii="Times New Roman" w:hAnsi="Times New Roman" w:eastAsia="Times New Roman"/>
          <w:b w:val="0"/>
          <w:i w:val="0"/>
          <w:sz w:val="28"/>
        </w:rPr>
        <w:t>Износ оборудования в процессе эксплуатации обычно происходит постепенно: изнашиваются подвижные части, ухудшаются характеристики электронных систем из-за деградации параметров электронных компонентов. О степени износа оборудования можно судить по различным ранним косвенным признакам, которые регистрируются установленными на оборудовании датчиками. К таким косвенным признакам относятся аномальные изменения физических параметров: отклонения тока и напряжения от нормы, изменение скорости вращения, повышение уровня вибрации и рост температуры рабочих узлов. Современный «цифровой» подход предполагает планирование мероприятий по обслуживанию оборудования именно на основе данных, получаемых от установленных на нём датчиков, фиксирующих подобные косвенные признаки деградации. Отсутствие обслуживания оборудования негативно сказывается на точности позиционирования рабочих инструментов и, как следствие, на качестве выпускаемых деталей.</w:t>
      </w:r>
    </w:p>
    <w:p>
      <w:pPr>
        <w:spacing w:before="200" w:after="80"/>
      </w:pPr>
      <w:r>
        <w:rPr>
          <w:rFonts w:ascii="Times New Roman" w:hAnsi="Times New Roman" w:eastAsia="Times New Roman"/>
          <w:b/>
          <w:i w:val="0"/>
          <w:sz w:val="28"/>
        </w:rPr>
        <w:t>7. Приведите инструментарии проектирования и производства киберфизических систем</w:t>
      </w:r>
    </w:p>
    <w:p>
      <w:pPr>
        <w:ind w:firstLine="709"/>
        <w:jc w:val="both"/>
      </w:pPr>
      <w:r>
        <w:rPr>
          <w:rFonts w:ascii="Times New Roman" w:hAnsi="Times New Roman" w:eastAsia="Times New Roman"/>
          <w:b w:val="0"/>
          <w:i w:val="0"/>
          <w:sz w:val="28"/>
        </w:rPr>
        <w:t>Инструментальные средства проектирования и производства киберфизических систем позволяют осуществлять удалённый автоматизированный сбор информации с оборудования о возникающих ошибках, состоянии узлов, параметрах работы и внешней среды, а также осуществляют диагностику оборудования и формирование планов ремонтных работ.</w:t>
      </w:r>
    </w:p>
    <w:p>
      <w:pPr>
        <w:ind w:firstLine="709"/>
        <w:jc w:val="both"/>
      </w:pPr>
      <w:r>
        <w:rPr>
          <w:rFonts w:ascii="Times New Roman" w:hAnsi="Times New Roman" w:eastAsia="Times New Roman"/>
          <w:b w:val="0"/>
          <w:i w:val="0"/>
          <w:sz w:val="28"/>
        </w:rPr>
        <w:t>К аппаратным средствам относятся электронные модули для подключения промышленного оборудования к промышленному Интернету: модули межмашинного взаимодействия (например, Cinterion® BGS1 — 2G GSM/GPRS модуль) и модули с низким энергопотреблением для носимой электроники и приложений Интернета вещей (например, ESP32 — Wi-Fi/Bluetooth-чип).</w:t>
      </w:r>
    </w:p>
    <w:p>
      <w:pPr>
        <w:ind w:firstLine="709"/>
        <w:jc w:val="both"/>
      </w:pPr>
      <w:r>
        <w:rPr>
          <w:rFonts w:ascii="Times New Roman" w:hAnsi="Times New Roman" w:eastAsia="Times New Roman"/>
          <w:b w:val="0"/>
          <w:i w:val="0"/>
          <w:sz w:val="28"/>
        </w:rPr>
        <w:t>К программным продуктам и сервисам относятся:</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i w:val="0"/>
          <w:sz w:val="28"/>
        </w:rPr>
        <w:t>Teamcenter</w:t>
      </w:r>
      <w:r>
        <w:rPr>
          <w:rFonts w:ascii="Times New Roman" w:hAnsi="Times New Roman" w:eastAsia="Times New Roman"/>
          <w:b w:val="0"/>
          <w:i w:val="0"/>
          <w:sz w:val="28"/>
        </w:rPr>
        <w:t xml:space="preserve"> (Siemens) — основа для всех программ «Комплекта ПО цифрового предприятия»;</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i w:val="0"/>
          <w:sz w:val="28"/>
        </w:rPr>
        <w:t>Lifecycle Analytics</w:t>
      </w:r>
      <w:r>
        <w:rPr>
          <w:rFonts w:ascii="Times New Roman" w:hAnsi="Times New Roman" w:eastAsia="Times New Roman"/>
          <w:b w:val="0"/>
          <w:i w:val="0"/>
          <w:sz w:val="28"/>
        </w:rPr>
        <w:t xml:space="preserve"> (Siemens) — программный продукт для анализа жизненного цикла оборудования с целью его удалённого технического обслуживания по текущему техническому состоянию;</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i w:val="0"/>
          <w:sz w:val="28"/>
        </w:rPr>
        <w:t>Siemens Cloud for Industry</w:t>
      </w:r>
      <w:r>
        <w:rPr>
          <w:rFonts w:ascii="Times New Roman" w:hAnsi="Times New Roman" w:eastAsia="Times New Roman"/>
          <w:b w:val="0"/>
          <w:i w:val="0"/>
          <w:sz w:val="28"/>
        </w:rPr>
        <w:t xml:space="preserve"> — облачная платформа для промышленности, решающая задачи прогнозирования технического обслуживания, оптимизации ресурсов и управления энергопотреблением;</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i w:val="0"/>
          <w:sz w:val="28"/>
        </w:rPr>
        <w:t>WiNNUM MSE</w:t>
      </w:r>
      <w:r>
        <w:rPr>
          <w:rFonts w:ascii="Times New Roman" w:hAnsi="Times New Roman" w:eastAsia="Times New Roman"/>
          <w:b w:val="0"/>
          <w:i w:val="0"/>
          <w:sz w:val="28"/>
        </w:rPr>
        <w:t xml:space="preserve"> — программная платформа для промышленного Интернета, обеспечивающая удалённый мониторинг состояния оборудования, дистанционную диагностику и работу автономных систем в режиме межмашинного взаимодействия (М2М);</w:t>
      </w:r>
    </w:p>
    <w:p>
      <w:pPr>
        <w:ind w:left="567" w:hanging="283"/>
        <w:jc w:val="both"/>
      </w:pPr>
      <w:r>
        <w:rPr>
          <w:rFonts w:ascii="Times New Roman" w:hAnsi="Times New Roman" w:eastAsia="Times New Roman"/>
          <w:b w:val="0"/>
          <w:i w:val="0"/>
          <w:sz w:val="28"/>
        </w:rPr>
        <w:t xml:space="preserve">•  </w:t>
      </w:r>
      <w:r>
        <w:rPr>
          <w:rFonts w:ascii="Times New Roman" w:hAnsi="Times New Roman" w:eastAsia="Times New Roman"/>
          <w:b/>
          <w:i w:val="0"/>
          <w:sz w:val="28"/>
        </w:rPr>
        <w:t>Yandex Data Factory</w:t>
      </w:r>
      <w:r>
        <w:rPr>
          <w:rFonts w:ascii="Times New Roman" w:hAnsi="Times New Roman" w:eastAsia="Times New Roman"/>
          <w:b w:val="0"/>
          <w:i w:val="0"/>
          <w:sz w:val="28"/>
        </w:rPr>
        <w:t xml:space="preserve"> — облачная платформа, специализирующаяся на применении анализа больших данных, машинного обучения, распознавания образов и искусственных нейронных сетей для задач промышленности.</w:t>
      </w:r>
    </w:p>
    <w:p>
      <w:pPr>
        <w:spacing w:before="200" w:after="80"/>
      </w:pPr>
      <w:r>
        <w:rPr>
          <w:rFonts w:ascii="Times New Roman" w:hAnsi="Times New Roman" w:eastAsia="Times New Roman"/>
          <w:b/>
          <w:i w:val="0"/>
          <w:sz w:val="28"/>
        </w:rPr>
        <w:t>8. В каких случаях целесообразно использование коллаборативного робота, совместно работающего с человеком, а в каких случаях обычного промышленного робота?</w:t>
      </w:r>
    </w:p>
    <w:p>
      <w:pPr>
        <w:ind w:firstLine="709"/>
        <w:jc w:val="both"/>
      </w:pPr>
      <w:r>
        <w:rPr>
          <w:rFonts w:ascii="Times New Roman" w:hAnsi="Times New Roman" w:eastAsia="Times New Roman"/>
          <w:b w:val="0"/>
          <w:i w:val="0"/>
          <w:sz w:val="28"/>
        </w:rPr>
        <w:t>Коллаборативный робот целесообразно использовать в случаях, когда требуется совместная работа с человеком в одном замкнутом пространстве — прежде всего при производстве радиоэлектронной аппаратуры небольшими партиями, когда использование полноценных сборочных линий и линий печатного монтажа нецелесообразно. Коботы особенно эффективны для операций малой и средней сложности в приборостроении: установка электронных компонентов, сборка электронных и механических узлов, маркировка, финишная обработка, тестирование готовых устройств, загрузка деталей в станок с ЧПУ. Применение кобота оправдано, когда задачи требуют частой переналадки — перепрограммирование кобота на другую операцию не требует высокой квалификации и занимает не более 30 минут. Кобот целесообразен также там, где работают люди с ограниченными возможностями, и в условиях острой нехватки рабочих кадров.</w:t>
      </w:r>
    </w:p>
    <w:p>
      <w:pPr>
        <w:ind w:firstLine="709"/>
        <w:jc w:val="both"/>
      </w:pPr>
      <w:r>
        <w:rPr>
          <w:rFonts w:ascii="Times New Roman" w:hAnsi="Times New Roman" w:eastAsia="Times New Roman"/>
          <w:b w:val="0"/>
          <w:i w:val="0"/>
          <w:sz w:val="28"/>
        </w:rPr>
        <w:t>Обычный промышленный робот целесообразен в случаях, когда требуется высокая скорость работы и значительная грузоподъёмность (более 10 кг), когда выполняются однотипные операции большими сериями без частых переналадок, а присутствие человека в рабочей зоне исключено или нежелательно — в этих условиях промышленный робот, работающий в защитной клетке, обеспечивает максимальную производительность без ограничений по скорости, связанных с необходимостью обеспечения безопасности человека поблизости.</w:t>
      </w:r>
    </w:p>
    <w:p>
      <w:pPr>
        <w:spacing w:before="200" w:after="80"/>
      </w:pPr>
      <w:r>
        <w:rPr>
          <w:rFonts w:ascii="Times New Roman" w:hAnsi="Times New Roman" w:eastAsia="Times New Roman"/>
          <w:b/>
          <w:i w:val="0"/>
          <w:sz w:val="28"/>
        </w:rPr>
        <w:t>9. Почему для совместной работы с человеком подходит коллаборативный робот, а не обычный?</w:t>
      </w:r>
    </w:p>
    <w:p>
      <w:pPr>
        <w:ind w:firstLine="709"/>
        <w:jc w:val="both"/>
      </w:pPr>
      <w:r>
        <w:rPr>
          <w:rFonts w:ascii="Times New Roman" w:hAnsi="Times New Roman" w:eastAsia="Times New Roman"/>
          <w:b w:val="0"/>
          <w:i w:val="0"/>
          <w:sz w:val="28"/>
        </w:rPr>
        <w:t>Коллаборативный робот (кобот) — это робот, выполняющий совместно с человеком работу в одном замкнутом пространстве. В отличие от классических промышленных роботов, коботы оснащены системами безопасности, позволяющими им работать в непосредственной близости от работника-человека, тогда как обычный промышленный робот работает в клетке (защитном ограждении) и не рассчитан на присутствие человека в рабочей зоне.</w:t>
      </w:r>
    </w:p>
    <w:p>
      <w:pPr>
        <w:ind w:firstLine="709"/>
        <w:jc w:val="both"/>
      </w:pPr>
      <w:r>
        <w:rPr>
          <w:rFonts w:ascii="Times New Roman" w:hAnsi="Times New Roman" w:eastAsia="Times New Roman"/>
          <w:b w:val="0"/>
          <w:i w:val="0"/>
          <w:sz w:val="28"/>
        </w:rPr>
        <w:t>Ключевое отличие коботов — наличие датчиков, благодаря которым они могут безопасно работать рядом с человеком: датчики фиксируют состояние механических и электрических параметров, а встроенные системы безопасности обеспечивают своевременную реакцию на контакт или приближение оператора. Именно датчики делают возможным режим совместной работы без ограждений.</w:t>
      </w:r>
    </w:p>
    <w:p>
      <w:pPr>
        <w:ind w:firstLine="709"/>
        <w:jc w:val="both"/>
      </w:pPr>
      <w:r>
        <w:rPr>
          <w:rFonts w:ascii="Times New Roman" w:hAnsi="Times New Roman" w:eastAsia="Times New Roman"/>
          <w:b w:val="0"/>
          <w:i w:val="0"/>
          <w:sz w:val="28"/>
        </w:rPr>
        <w:t>Существенным преимуществом коботов является гибкость в обучении: они могут обучаться через подражание действиям человека, получать рабочие инструкции через графический пользовательский интерфейс или программироваться. Коботы легко перепрограммируются на выполнение другой операции, для чего зачастую не требуется специалиста высокой квалификации, а затраты времени не превышают 30 минут. Обычный промышленный робот требует значительно более сложного перепрограммирования.</w:t>
      </w:r>
    </w:p>
    <w:p>
      <w:pPr>
        <w:ind w:firstLine="709"/>
        <w:jc w:val="both"/>
      </w:pPr>
      <w:r>
        <w:rPr>
          <w:rFonts w:ascii="Times New Roman" w:hAnsi="Times New Roman" w:eastAsia="Times New Roman"/>
          <w:b w:val="0"/>
          <w:i w:val="0"/>
          <w:sz w:val="28"/>
        </w:rPr>
        <w:t>Вместе с тем коботы имеют конструктивные ограничения, обусловленные требованиями безопасности: относительно низкая скорость работы — из-за необходимости учитывать наличие людей поблизости — и невысокая грузоподъёмность (не более 10 кг). Эти ограничения являются намеренными: снижение скорости и мощности снижает риск травмы при контакте с человеком.</w:t>
      </w:r>
    </w:p>
    <w:p>
      <w:pPr>
        <w:ind w:firstLine="709"/>
        <w:jc w:val="both"/>
      </w:pPr>
      <w:r>
        <w:rPr>
          <w:rFonts w:ascii="Times New Roman" w:hAnsi="Times New Roman" w:eastAsia="Times New Roman"/>
          <w:b w:val="0"/>
          <w:i w:val="0"/>
          <w:sz w:val="28"/>
        </w:rPr>
        <w:t>Таким образом, кобот подходит для совместной работы с человеком именно потому, что его конструкция изначально ориентирована на коллаборацию: датчики безопасности, ограниченные скорость и грузоподъёмность, отсутствие необходимости в защитных ограждениях, лёгкое перепрограммирование и способность считывать движения оператора — всё это формирует единую систему «человек–кобот», от которой можно ожидать положительного синергетического эффекта.</w:t>
      </w:r>
    </w:p>
    <w:p>
      <w:pPr>
        <w:spacing w:before="200" w:after="80"/>
      </w:pPr>
      <w:r>
        <w:rPr>
          <w:rFonts w:ascii="Times New Roman" w:hAnsi="Times New Roman" w:eastAsia="Times New Roman"/>
          <w:b/>
          <w:i w:val="0"/>
          <w:sz w:val="28"/>
        </w:rPr>
        <w:t>10. Какие технологии будут лежать в основе Индустрии 6.0?</w:t>
      </w:r>
    </w:p>
    <w:p>
      <w:pPr>
        <w:ind w:firstLine="709"/>
        <w:jc w:val="both"/>
      </w:pPr>
      <w:r>
        <w:rPr>
          <w:rFonts w:ascii="Times New Roman" w:hAnsi="Times New Roman" w:eastAsia="Times New Roman"/>
          <w:b w:val="0"/>
          <w:i w:val="0"/>
          <w:sz w:val="28"/>
        </w:rPr>
        <w:t>Согласно разделу 6.5 пособия, Индустрия 6.0 рассматривается через шесть исследовательских проекций, каждая из которых соответствует определённому технологическому направлению.</w:t>
      </w:r>
    </w:p>
    <w:p>
      <w:pPr>
        <w:ind w:firstLine="709"/>
        <w:jc w:val="both"/>
      </w:pPr>
      <w:r>
        <w:rPr>
          <w:rFonts w:ascii="Times New Roman" w:hAnsi="Times New Roman" w:eastAsia="Times New Roman"/>
          <w:b/>
          <w:i w:val="0"/>
          <w:sz w:val="28"/>
        </w:rPr>
        <w:t>Проекция 1. Интеллектуальная автоматизация.</w:t>
      </w:r>
      <w:r>
        <w:rPr>
          <w:rFonts w:ascii="Times New Roman" w:hAnsi="Times New Roman" w:eastAsia="Times New Roman"/>
          <w:b w:val="0"/>
          <w:i w:val="0"/>
          <w:sz w:val="28"/>
        </w:rPr>
        <w:t xml:space="preserve"> В основе — искусственный интеллект (ИИ), создание практически полностью автономных самоуправляемых производственных систем с функцией непрерывного обучения. Обсуждается применение квантовых вычислений, предиктивного управления и самовосстановления производственных процессов. Акцент делается на ультраперсонализированном производстве (размер партии = 1, при этом экономически и экологически оправданном) и «умных», полностью автономных фабриках с роботизированными линиями.</w:t>
      </w:r>
    </w:p>
    <w:p>
      <w:pPr>
        <w:ind w:firstLine="709"/>
        <w:jc w:val="both"/>
      </w:pPr>
      <w:r>
        <w:rPr>
          <w:rFonts w:ascii="Times New Roman" w:hAnsi="Times New Roman" w:eastAsia="Times New Roman"/>
          <w:b/>
          <w:i w:val="0"/>
          <w:sz w:val="28"/>
        </w:rPr>
        <w:t>Проекция 2. Устойчивое развитие и «зелёные» технологии.</w:t>
      </w:r>
      <w:r>
        <w:rPr>
          <w:rFonts w:ascii="Times New Roman" w:hAnsi="Times New Roman" w:eastAsia="Times New Roman"/>
          <w:b w:val="0"/>
          <w:i w:val="0"/>
          <w:sz w:val="28"/>
        </w:rPr>
        <w:t xml:space="preserve"> Применение интеллектуальных систем для достижения глобальной экологической устойчивости, создания моделей экономики с гармоничной коэволюцией биосферы и техносферы, а также использование ИИ для моделирования и предсказания климатических изменений.</w:t>
      </w:r>
    </w:p>
    <w:p>
      <w:pPr>
        <w:ind w:firstLine="709"/>
        <w:jc w:val="both"/>
      </w:pPr>
      <w:r>
        <w:rPr>
          <w:rFonts w:ascii="Times New Roman" w:hAnsi="Times New Roman" w:eastAsia="Times New Roman"/>
          <w:b/>
          <w:i w:val="0"/>
          <w:sz w:val="28"/>
        </w:rPr>
        <w:t>Проекция 3. Человеко-машинное взаимодействие, эмоциональный интеллект.</w:t>
      </w:r>
      <w:r>
        <w:rPr>
          <w:rFonts w:ascii="Times New Roman" w:hAnsi="Times New Roman" w:eastAsia="Times New Roman"/>
          <w:b w:val="0"/>
          <w:i w:val="0"/>
          <w:sz w:val="28"/>
        </w:rPr>
        <w:t xml:space="preserve"> Технологии симбиотического взаимодействия человека и машины, применение эмоционального интеллекта, когнитивное и физическое слияние виртуальных и цифровых двойников машин и человека, гуманизация технологий.</w:t>
      </w:r>
    </w:p>
    <w:p>
      <w:pPr>
        <w:ind w:firstLine="709"/>
        <w:jc w:val="both"/>
      </w:pPr>
      <w:r>
        <w:rPr>
          <w:rFonts w:ascii="Times New Roman" w:hAnsi="Times New Roman" w:eastAsia="Times New Roman"/>
          <w:b/>
          <w:i w:val="0"/>
          <w:sz w:val="28"/>
        </w:rPr>
        <w:t>Проекция 4. Информационные технологии и кибербезопасность.</w:t>
      </w:r>
      <w:r>
        <w:rPr>
          <w:rFonts w:ascii="Times New Roman" w:hAnsi="Times New Roman" w:eastAsia="Times New Roman"/>
          <w:b w:val="0"/>
          <w:i w:val="0"/>
          <w:sz w:val="28"/>
        </w:rPr>
        <w:t xml:space="preserve"> Технологии защиты данных и обеспечения безопасности гиперсвязанных иммерсивных систем, переход к полностью автономным системам кибербезопасности, способным принимать решения без участия человека.</w:t>
      </w:r>
    </w:p>
    <w:p>
      <w:pPr>
        <w:ind w:firstLine="709"/>
        <w:jc w:val="both"/>
      </w:pPr>
      <w:r>
        <w:rPr>
          <w:rFonts w:ascii="Times New Roman" w:hAnsi="Times New Roman" w:eastAsia="Times New Roman"/>
          <w:b/>
          <w:i w:val="0"/>
          <w:sz w:val="28"/>
        </w:rPr>
        <w:t>Проекция 5. Машинное обучение и ИИ в различных секторах.</w:t>
      </w:r>
      <w:r>
        <w:rPr>
          <w:rFonts w:ascii="Times New Roman" w:hAnsi="Times New Roman" w:eastAsia="Times New Roman"/>
          <w:b w:val="0"/>
          <w:i w:val="0"/>
          <w:sz w:val="28"/>
        </w:rPr>
        <w:t xml:space="preserve"> Адаптивное производство — интеллектуальный подход, использующий данные в реальном времени, ИИ и автоматизацию для непрерывной корректировки процессов. Применение ИИ в финансах, здравоохранении, транспорте для оптимизации и предсказания процессов.</w:t>
      </w:r>
    </w:p>
    <w:p>
      <w:pPr>
        <w:ind w:firstLine="709"/>
        <w:jc w:val="both"/>
      </w:pPr>
      <w:r>
        <w:rPr>
          <w:rFonts w:ascii="Times New Roman" w:hAnsi="Times New Roman" w:eastAsia="Times New Roman"/>
          <w:b/>
          <w:i w:val="0"/>
          <w:sz w:val="28"/>
        </w:rPr>
        <w:t>Проекция 6. Управление человеческими ресурсами.</w:t>
      </w:r>
      <w:r>
        <w:rPr>
          <w:rFonts w:ascii="Times New Roman" w:hAnsi="Times New Roman" w:eastAsia="Times New Roman"/>
          <w:b w:val="0"/>
          <w:i w:val="0"/>
          <w:sz w:val="28"/>
        </w:rPr>
        <w:t xml:space="preserve"> Цифровизация HR-процессов с помощью ИИ, адаптация организаций к вызовам Индустрии 6.0.</w:t>
      </w:r>
    </w:p>
    <w:p>
      <w:pPr>
        <w:ind w:firstLine="709"/>
        <w:jc w:val="both"/>
      </w:pPr>
      <w:r>
        <w:rPr>
          <w:rFonts w:ascii="Times New Roman" w:hAnsi="Times New Roman" w:eastAsia="Times New Roman"/>
          <w:b w:val="0"/>
          <w:i w:val="0"/>
          <w:sz w:val="28"/>
        </w:rPr>
        <w:t>В итоге пособие определяет Индустрию 6.0 как «новое поколение промышленности, управляемое генеративным ИИ и роем гетерогенных роботов». Её ключевыми технологическими характеристиками названы: ультраперсонализированное производство, массовое создание ценностей и дизайн квантово-интеллектуальных экосистем с самонастройкой и управлением на основе прогнозов. Объектами Индустрии 6.0 являются эмоционально-интеллектуальные квантовые экосистемы, включающие когнитивные функции ИИ, способного распознавать, интерпретировать и взаимодействовать с человеческими эмоциями.</w:t>
      </w:r>
    </w:p>
    <w:p>
      <w:r>
        <w:br w:type="page"/>
      </w:r>
    </w:p>
    <w:p>
      <w:pPr>
        <w:spacing w:after="160"/>
        <w:jc w:val="center"/>
      </w:pPr>
      <w:r>
        <w:rPr>
          <w:rFonts w:ascii="Times New Roman" w:hAnsi="Times New Roman" w:eastAsia="Times New Roman"/>
          <w:b/>
          <w:i w:val="0"/>
          <w:sz w:val="26"/>
        </w:rPr>
        <w:t>ВОПРОСЫ К ЭКЗАМЕНУ (Глава 7. Моделирование физических процессов в КФС)</w:t>
      </w:r>
    </w:p>
    <w:p>
      <w:pPr>
        <w:spacing w:before="200" w:after="80"/>
      </w:pPr>
      <w:r>
        <w:rPr>
          <w:rFonts w:ascii="Times New Roman" w:hAnsi="Times New Roman" w:eastAsia="Times New Roman"/>
          <w:b/>
          <w:i w:val="0"/>
          <w:sz w:val="28"/>
        </w:rPr>
        <w:t>1. Ключевые критерии внедрения технологических инноваций</w:t>
      </w:r>
    </w:p>
    <w:p>
      <w:pPr>
        <w:ind w:firstLine="709"/>
        <w:jc w:val="both"/>
      </w:pPr>
      <w:r>
        <w:rPr>
          <w:rFonts w:ascii="Times New Roman" w:hAnsi="Times New Roman" w:eastAsia="Times New Roman"/>
          <w:b w:val="0"/>
          <w:i w:val="0"/>
          <w:sz w:val="28"/>
        </w:rPr>
        <w:t>Современное понимание технологических инноваций связано прежде всего с новыми технологическими решениями в производственных процессах или их значительным усовершенствованием. Одним из ключевых критериев внедрения технологических инноваций является достижение максимальной энергоэффективности и результативности, что определяет применимость технологических инноваций для достижения целей киберфизических систем.</w:t>
      </w:r>
    </w:p>
    <w:p>
      <w:pPr>
        <w:ind w:firstLine="709"/>
        <w:jc w:val="both"/>
      </w:pPr>
      <w:r>
        <w:rPr>
          <w:rFonts w:ascii="Times New Roman" w:hAnsi="Times New Roman" w:eastAsia="Times New Roman"/>
          <w:b w:val="0"/>
          <w:i w:val="0"/>
          <w:sz w:val="28"/>
        </w:rPr>
        <w:t>Результаты внедрения технологических инноваций на различных этапах жизненного цикла должны иметь положительный характер и быть направлены на повышение основных показателей качества. При этом неизбежно возникает и отрицательное влияние, вызванное потерей временных и материальных ресурсов, обусловленных необходимостью освоения и внедрения новых технически сложных решений, а также возникновением непредвиденных ситуаций. Таким образом, критерий минимизации потерь при внедрении инноваций является не менее важным, чем критерий результативности.</w:t>
      </w:r>
    </w:p>
    <w:p>
      <w:pPr>
        <w:ind w:firstLine="709"/>
        <w:jc w:val="both"/>
      </w:pPr>
      <w:r>
        <w:rPr>
          <w:rFonts w:ascii="Times New Roman" w:hAnsi="Times New Roman" w:eastAsia="Times New Roman"/>
          <w:b w:val="0"/>
          <w:i w:val="0"/>
          <w:sz w:val="28"/>
        </w:rPr>
        <w:t>Для управления отрицательным влиянием применяются подходы принятия решений, учитывающие различные виды неопределённости и направленные на многокритериальную оценку текущего состояния системы и определение наилучшего решения из имеющихся. Однако существенным ограничением таких подходов является то, что они ориентированы на ранние стадии проектирования и не учитывают динамическое поведение системы.</w:t>
      </w:r>
    </w:p>
    <w:p>
      <w:pPr>
        <w:ind w:firstLine="709"/>
        <w:jc w:val="both"/>
      </w:pPr>
      <w:r>
        <w:rPr>
          <w:rFonts w:ascii="Times New Roman" w:hAnsi="Times New Roman" w:eastAsia="Times New Roman"/>
          <w:b w:val="0"/>
          <w:i w:val="0"/>
          <w:sz w:val="28"/>
        </w:rPr>
        <w:t>Управление в сложных киберфизических системах представляется логикой управления, ориентированной на достижение заявленных целей по измеримым критериям. В результате анализа и оценки динамически меняющегося состояния как внешней среды, так и состояния внутренней системы на аппаратном уровне происходит генерация решений об управлении процессами в режиме реального времени. Внедрение технологических инноваций в производственный процесс в данном случае является возмущающим воздействием, требующим определённой реакции системы для достижения заявленных целей: таким образом, отрицательное влияние от внедрения инноваций может сводиться к минимуму, а положительный эффект увеличивается.</w:t>
      </w:r>
    </w:p>
    <w:p>
      <w:pPr>
        <w:ind w:firstLine="709"/>
        <w:jc w:val="both"/>
      </w:pPr>
      <w:r>
        <w:rPr>
          <w:rFonts w:ascii="Times New Roman" w:hAnsi="Times New Roman" w:eastAsia="Times New Roman"/>
          <w:b w:val="0"/>
          <w:i w:val="0"/>
          <w:sz w:val="28"/>
        </w:rPr>
        <w:t>Технологические инновации рассматриваются не только в рамках влияния на производственные процессы, но и в рамках внедрения технологических решений при управлении самими киберфизическими системами — за счёт совершенствования аппаратного обеспечения, измерительного и диагностического оборудования, средств и методов безопасности и конфиденциальности, методов передачи данных. В этом случае говорят об управлении качеством киберфизических систем и построении сложных моделей, критериев и показателей, учитывающих показатели качества системы.</w:t>
      </w:r>
    </w:p>
    <w:p>
      <w:pPr>
        <w:ind w:firstLine="709"/>
        <w:jc w:val="both"/>
      </w:pPr>
      <w:r>
        <w:rPr>
          <w:rFonts w:ascii="Times New Roman" w:hAnsi="Times New Roman" w:eastAsia="Times New Roman"/>
          <w:b w:val="0"/>
          <w:i w:val="0"/>
          <w:sz w:val="28"/>
        </w:rPr>
        <w:t>Практическим примером реализации критериев внедрения технологических инноваций служит производство электроники: контроль качества осуществляется установками автоматической оптической инспекции после нанесения паяльной пасты, после установки компонентов, после печи оплавления и нанесения лазерной маркировки, а также посредством дополнительного контроля монтажа BGA. Применение DFM-анализа совместно с технологическими инновациями на всех этапах жизненного цикла позволяет корректировать незначительные отклонения от требуемых значений в технологическом процессе на самой ранней стадии обнаружения несоответствия, что и является ключевым критерием результативного внедрения — своевременность обнаружения и устранения несоответствий.</w:t>
      </w:r>
    </w:p>
    <w:p>
      <w:pPr>
        <w:spacing w:before="200" w:after="80"/>
      </w:pPr>
      <w:r>
        <w:rPr>
          <w:rFonts w:ascii="Times New Roman" w:hAnsi="Times New Roman" w:eastAsia="Times New Roman"/>
          <w:b/>
          <w:i w:val="0"/>
          <w:sz w:val="28"/>
        </w:rPr>
        <w:t>2. Проблемы моделирования киберфизических систем</w:t>
      </w:r>
    </w:p>
    <w:p>
      <w:pPr>
        <w:ind w:firstLine="709"/>
        <w:jc w:val="both"/>
      </w:pPr>
      <w:r>
        <w:rPr>
          <w:rFonts w:ascii="Times New Roman" w:hAnsi="Times New Roman" w:eastAsia="Times New Roman"/>
          <w:b w:val="0"/>
          <w:i w:val="0"/>
          <w:sz w:val="28"/>
        </w:rPr>
        <w:t>Непосредственное внедрение киберфизических систем в различные физические среды живой и неживой природы или искусственно созданные среды ограничивается только достаточностью знаний, представленных математическими моделями. Это фундаментальное ограничение определяет круг проблем, с которыми сталкиваются разработчики при создании и эксплуатации КФС.</w:t>
      </w:r>
    </w:p>
    <w:p>
      <w:pPr>
        <w:ind w:firstLine="709"/>
        <w:jc w:val="both"/>
      </w:pPr>
      <w:r>
        <w:rPr>
          <w:rFonts w:ascii="Times New Roman" w:hAnsi="Times New Roman" w:eastAsia="Times New Roman"/>
          <w:b w:val="0"/>
          <w:i w:val="0"/>
          <w:sz w:val="28"/>
        </w:rPr>
        <w:t>Создание киберфизических систем сопряжено с новыми или известными, но усложнёнными задачами. К числу ключевых проблем относятся: интеграция множества гетерогенных моделей; гибридное моделирование, в том числе при несовпадающей синхронизации отдельных подсистем; учёт наложения физических процессов; а также ряд других проблем и задач.</w:t>
      </w:r>
    </w:p>
    <w:p>
      <w:pPr>
        <w:ind w:firstLine="709"/>
        <w:jc w:val="both"/>
      </w:pPr>
      <w:r>
        <w:rPr>
          <w:rFonts w:ascii="Times New Roman" w:hAnsi="Times New Roman" w:eastAsia="Times New Roman"/>
          <w:b w:val="0"/>
          <w:i w:val="0"/>
          <w:sz w:val="28"/>
        </w:rPr>
        <w:t>По формальному признаку киберфизические системы относятся к сложным системам по крайней мере по двум основаниям. Во-первых, в основе КФС лежат аппаратные и программные подсистемы, каждая из которых сама по себе не обладает системными свойствами целого. Во-вторых, каждая из подсистем — как кибернетическая, так и физическая — характеризуется аналогичным образом, то есть также является сложной. Отличительной чертой киберфизических систем является их принципиальная гетерогенность, которая сама по себе порождает трудности при построении единой согласованной модели.</w:t>
      </w:r>
    </w:p>
    <w:p>
      <w:pPr>
        <w:ind w:firstLine="709"/>
        <w:jc w:val="both"/>
      </w:pPr>
      <w:r>
        <w:rPr>
          <w:rFonts w:ascii="Times New Roman" w:hAnsi="Times New Roman" w:eastAsia="Times New Roman"/>
          <w:b w:val="0"/>
          <w:i w:val="0"/>
          <w:sz w:val="28"/>
        </w:rPr>
        <w:t>Предъявление новых требований на всех этапах жизненного цикла киберфизических систем влечёт за собой применение инструментария управления качеством, формулирования глобальных и локальных целей. В качестве глобальной цели может быть рассмотрена энергоэффективность, которая может трактоваться как прямо, так и опосредованно в зависящих терминах. Необходимость одновременного удовлетворения глобальных и локальных целевых критериев существенно усложняет задачу моделирования.</w:t>
      </w:r>
    </w:p>
    <w:p>
      <w:pPr>
        <w:ind w:firstLine="709"/>
        <w:jc w:val="both"/>
      </w:pPr>
      <w:r>
        <w:rPr>
          <w:rFonts w:ascii="Times New Roman" w:hAnsi="Times New Roman" w:eastAsia="Times New Roman"/>
          <w:b w:val="0"/>
          <w:i w:val="0"/>
          <w:sz w:val="28"/>
        </w:rPr>
        <w:t>Кибернетические методы и средства применяются для взаимодействия с любыми видами сред. Однако всеобъемлющее рассмотрение и классификация природных и техногенных сред не имеют смысла из-за различия и многообразия математических моделей этих сред. Это означает, что универсальной модели для всех типов сред не существует, и каждый класс КФС требует разработки специфического модельного аппарата.</w:t>
      </w:r>
    </w:p>
    <w:p>
      <w:pPr>
        <w:ind w:firstLine="709"/>
        <w:jc w:val="both"/>
      </w:pPr>
      <w:r>
        <w:rPr>
          <w:rFonts w:ascii="Times New Roman" w:hAnsi="Times New Roman" w:eastAsia="Times New Roman"/>
          <w:b w:val="0"/>
          <w:i w:val="0"/>
          <w:sz w:val="28"/>
        </w:rPr>
        <w:t>В то же время значимость киберфизических систем трудно переоценить, и актуальным является создание подходов, общих для решения возникающих проблем на этапах жизненного цикла. Важно подчеркнуть, что развитие киберфизических систем как основного инструмента цифровизации при управлении физическими средами и их преобразованиями определяется глобальными технологическими изменениями. Функциональная сложность сквозного цифрового проектирования производственного процесса объясняется многократностью моделирования этапов производства, привлечением большого количества участников, высоким уровнем детализации и использованием КФС на всех этапах жизненного цикла: разработка, проектирование для производства (DFM), разработка технологии, подготовка и разработка производственных процессов, запуск производства, производственные операции, контроль качества продукции, ввод в эксплуатацию.</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