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«САНКТ-ПЕТЕРБУРГСКИЙ ГОСУДАРСТВЕННЫЙ УНИВЕРСИТЕТ АЭРОКОСМИЧЕСКОГО ПРИБОРОСТРОЕНИЯ»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КАФЕДРА ИННОВАТИКИ И ИНТЕГРИРОВАННЫХ СИСТЕМ КАЧЕСТВА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ОЦЕНКА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РУКОВОДИТЕЛЬ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профессор, д-р техн. наук,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доц.</w:t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Н. А. Жильникова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должность, уч. степень, звание</w:t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/>
          <w:i w:val="0"/>
          <w:sz w:val="28"/>
        </w:rPr>
        <w:t>Практическая работа № 2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ИДЕНТИФИКАЦИЯ И ОЦЕНКА ЭКОЛОГИЧЕСКИХ РИСКОВ ПРОЕКТА</w:t>
      </w:r>
      <w:r>
        <w:br/>
      </w:r>
      <w:r>
        <w:rPr>
          <w:rFonts w:ascii="Times New Roman" w:hAnsi="Times New Roman" w:cs="Times New Roman"/>
          <w:b w:val="0"/>
          <w:i w:val="0"/>
          <w:sz w:val="28"/>
        </w:rPr>
        <w:t>СТРОИТЕЛЬСТВА ХИМИЧЕСКОГО ЗАВОДА В ПРОМЫШЛЕННОЙ ЗОНЕ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по дисциплине: Управление экологической безопасностью организаций и процессов</w:t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ВЫПОЛНИЛ</w:t>
      </w:r>
    </w:p>
    <w:p>
      <w:pPr>
        <w:spacing w:after="0" w:before="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8"/>
        </w:rPr>
        <w:t>СТУДЕНТ ГР. № М558М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3118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Д. С. Рослов</w:t>
            </w:r>
          </w:p>
        </w:tc>
      </w:tr>
      <w:tr>
        <w:tc>
          <w:tcPr>
            <w:tcW w:type="dxa" w:w="3402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</w:r>
          </w:p>
        </w:tc>
        <w:tc>
          <w:tcPr>
            <w:tcW w:type="dxa" w:w="3118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подпись, дата</w:t>
            </w:r>
          </w:p>
        </w:tc>
        <w:tc>
          <w:tcPr>
            <w:tcW w:type="dxa" w:w="2835"/>
            <w:tcBorders>
              <w:top w:val="single" w:sz="6" w:color="000000"/>
              <w:left w:val="nil"/>
              <w:bottom w:val="nil"/>
              <w:right w:val="nil"/>
            </w:tcBorders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/>
                <w:sz w:val="20"/>
              </w:rPr>
              <w:t>инициалы, фамилия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spacing w:after="0" w:before="0" w:line="276" w:lineRule="auto"/>
        <w:jc w:val="center"/>
      </w:pPr>
      <w:r>
        <w:rPr>
          <w:rFonts w:ascii="Times New Roman" w:hAnsi="Times New Roman" w:cs="Times New Roman"/>
          <w:b w:val="0"/>
          <w:i w:val="0"/>
          <w:sz w:val="28"/>
        </w:rPr>
        <w:t>Санкт-Петербург 2026</w:t>
      </w:r>
    </w:p>
    <w:p>
      <w:r>
        <w:br w:type="page"/>
      </w:r>
    </w:p>
    <w:p>
      <w:pPr>
        <w:spacing w:after="120" w:before="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Цель работы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Сформировать навыки идентификации и оценки экологических рисков проекта, составления «дерева событий» для аварийных ситуаций, определения уровня опасности и разработки мероприятий по управлению рисками.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Исходные данные (кейс 1)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выполнения работы выбран кейс 1 «Строительство химического завода в промышленной зоне». Исходные данные проекта приведены в таблице 1.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1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Исходные данные проекта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3402"/>
        <w:gridCol w:w="5953"/>
      </w:tblGrid>
      <w:tr>
        <w:tc>
          <w:tcPr>
            <w:tcW w:type="dxa" w:w="340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Значение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Местоположение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Промышленная зона, 5 км от жилых районов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Площадь участка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 га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Производство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Синтетические полимеры с использованием органических растворителей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Проектная мощность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50 000 т продукции в год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Водопотребление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200 м³/сут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Хранение опасных веществ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 резервуара по 500 м³ (толуол, ксилол)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Транспортная нагрузка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15–20 грузовых автомобилей в сутки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Стоимость проекта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2,5 млрд руб.</w:t>
            </w:r>
          </w:p>
        </w:tc>
      </w:tr>
      <w:tr>
        <w:tc>
          <w:tcPr>
            <w:tcW w:type="dxa" w:w="340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Штат сотрудников</w:t>
            </w:r>
          </w:p>
        </w:tc>
        <w:tc>
          <w:tcPr>
            <w:tcW w:type="dxa" w:w="595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120 человек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Толуол и ксилол — легковоспламеняющиеся жидкости III класса опасности (температура вспышки 4 °C и 29 °C соответственно), максимальные разовые ПДК в атмосферном воздухе населённых мест — 0,6 и 0,2 мг/м³ [4]. Суммарное количество растворителей в резервуарном парке (около 1 300 т) позволяет отнести объект к опасным производственным объектам согласно Федеральному закону № 116-ФЗ [5]. Для перевода финансового ущерба в единицы МРОТ принят МРОТ на 2026 год — 27 093 руб.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1 Опасности и экологические риски на этапах жизненного цикла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Опасности идентифицированы для трёх этапов жизненного цикла объекта: строительства, эксплуатации и вывода из эксплуатации (таблица 2). Наибольшее число опасностей связано с этапом эксплуатации, на котором на площадке постоянно находится около 1 300 т легковоспламеняющихся растворителей.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2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Опасности и экологические риски при строительстве и эксплуатации химического завода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2041"/>
        <w:gridCol w:w="7314"/>
      </w:tblGrid>
      <w:tr>
        <w:tc>
          <w:tcPr>
            <w:tcW w:type="dxa" w:w="204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Этап реализации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проекта</w:t>
            </w:r>
          </w:p>
        </w:tc>
        <w:tc>
          <w:tcPr>
            <w:tcW w:type="dxa" w:w="7313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Идентифицированные опасности и экологические риски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Строительство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(24 мес.)</w:t>
            </w:r>
          </w:p>
        </w:tc>
        <w:tc>
          <w:tcPr>
            <w:tcW w:type="dxa" w:w="731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снятие и нарушение почвенно-растительного слоя на площади 15 га, эрозия;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выбросы NOx, CO, сажи от строительной техники, пыление при земляных работах;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разливы дизельного топлива и масел при заправке и ремонте техники;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образование строительных отходов, риск их несанкционированного размещения;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загрязнённый взвесями поверхностный сток со стройплощадки;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шум и вибрация от свайных и транспортных работ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Эксплуатация</w:t>
            </w:r>
          </w:p>
        </w:tc>
        <w:tc>
          <w:tcPr>
            <w:tcW w:type="dxa" w:w="731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разгерметизация резервуаров с толуолом и ксилолом (3 × 500 м³), пролив ЛВЖ;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пожар в резервуарном парке, в т. ч. каскадное развитие («эффект домино»);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выбросы летучих органических соединений (толуол, ксилол, мономеры) через дыхательные клапаны резервуаров и неплотности оборудования;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сброс недостаточно очищенных сточных вод (водопотребление 200 м³/сут);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образование опасных отходов: отработанные растворители, кубовые остатки, некондиционный полимер, отработанные сорбенты;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утечки из подземных коммуникаций, загрязнение подземных вод;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ДТП автоцистерн с растворителями (15–20 грузовых машин в сутки);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запах и шумовое воздействие на жилую застройку (5 км)</w:t>
            </w:r>
          </w:p>
        </w:tc>
      </w:tr>
      <w:tr>
        <w:tc>
          <w:tcPr>
            <w:tcW w:type="dxa" w:w="204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Вывод из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эксплуатации</w:t>
            </w:r>
          </w:p>
        </w:tc>
        <w:tc>
          <w:tcPr>
            <w:tcW w:type="dxa" w:w="7313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остатки растворителей в резервуарах и трубопроводах при демонтаже;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выявление накопленного загрязнения грунтов площадки;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– образование загрязнённых строительных отходов демонтажа</w:t>
            </w:r>
          </w:p>
        </w:tc>
      </w:tr>
    </w:tbl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2 «Дерево событий» для аварийных ситуаций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По результатам идентификации выбраны две наиболее значимые аварийные ситуации: разгерметизация резервуара с толуолом — как ситуация с наиболее тяжёлыми последствиями — и отказ локальных очистных сооружений — как наиболее частая. «Деревья событий» построены в соответствии с ГОСТ Р МЭК 62502-2014 [2]: от инициирующего события последовательно рассматривается срабатывание или отказ барьеров безопасности, частота каждого исхода равна произведению частоты инициирующего события на условные вероятности ветвей.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Частота разгерметизации резервуара принята 1·10⁻³ 1/год с учётом трёх резервуаров и статистики аварий на резервуарных парках ЛВЖ; частота отказа очистных сооружений — 5·10⁻² 1/год (один отказ за 20 лет). Условные вероятности ветвей заданы экспертно, исходя из надёжности предусмотренных проектом барьеров.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606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tre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60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1 — «Дерево событий» для аварийной ситуации: разгерметизация резервуара с толуолом</w:t>
      </w:r>
      <w:r>
        <w:br/>
      </w:r>
      <w:r>
        <w:rPr>
          <w:rFonts w:ascii="Times New Roman" w:hAnsi="Times New Roman" w:cs="Times New Roman"/>
          <w:b w:val="0"/>
          <w:i w:val="0"/>
          <w:sz w:val="24"/>
        </w:rPr>
        <w:t>Условные обозначения: P — вероятность события при условии, что предыдущее событие в цепочке уже произошло; f — частота, 1/год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Наиболее вероятный исход первой аварии — локальный пролив, удержанный обвалованием (И1, 7,2·10⁻⁴ 1/год). Наиболее тяжёлый — каскадный пожар резервуарного парка с образованием токсичного облака (И5): его частота 6·10⁻⁶ 1/год определяется двумя последовательными отказами барьеров — обвалования и автоматической установки пожаротушения.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234581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tre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45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2 — «Дерево событий» для аварийной ситуации: отказ локальных очистных сооружений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Для второй аварии основной барьер — автоматический анализатор качества стока на выпуске. При его отказе ответственность переходит к лабораторному контролю, и наиболее неблагоприятный исход — длительный сброс растворителей в водный объект (И9) — имеет частоту 2,2·10⁻³ 1/год, что на три порядка выше частоты каскадного пожара.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3 Определение тяжести последствий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Тяжесть последствий определена для наиболее тяжёлых исходов каждой аварии по трём критериям (таблицы 1–3 задания). Финансовый ущерб для И5 включает потерю резервуарного парка и продукта, повреждение соседних установок, ликвидацию последствий и возмещение вреда окружающей среде — около 450 млн руб. (≈ 16 609 МРОТ). Вред водному объекту для И9 оценён по методике исчисления вреда водным объектам [6] в 25 млн руб. (≈ 923 МРОТ).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3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Определение тяжести последствий</w:t>
      </w:r>
    </w:p>
    <w:p>
      <w:pPr>
        <w:spacing w:after="80" w:before="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Авария 1. Разгерметизация резервуара с толуолом, исход И5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1644"/>
        <w:gridCol w:w="1474"/>
        <w:gridCol w:w="2268"/>
        <w:gridCol w:w="1474"/>
        <w:gridCol w:w="2494"/>
      </w:tblGrid>
      <w:tr>
        <w:tc>
          <w:tcPr>
            <w:tcW w:type="dxa" w:w="164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Критерий оценки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Интенсив-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ность /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вероятность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Ожидаемый ущерб / тяжесть последствий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Категория / зона риска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Требуемые управленческие решения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Общая оценка (по таблице 1)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10⁻⁴…10⁻⁶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(редко)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Катастрофическая: гибель людей, невосполнимый ущерб окружающей среде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Категория 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Обязателен детальный анализ риска, требуются особые меры безопасности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Финансовый ущерб (по таблице 2)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10⁻⁵…10⁻⁶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случаев/год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≈ 450 млн руб.,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2000–20000 МРОТ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Зона приемлемого риска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Нет необходимости в дополнительных мероприятиях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Социальный ущерб (по таблице 3)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10⁻⁵…10⁻⁶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случаев/год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Погиб один человек, имеются пострадавшие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Зона приемлемого риска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Нет необходимости в дополнительных мероприятиях</w:t>
            </w:r>
          </w:p>
        </w:tc>
      </w:tr>
    </w:tbl>
    <w:p>
      <w:pPr>
        <w:spacing w:after="0" w:before="0" w:line="360" w:lineRule="auto"/>
      </w:pPr>
      <w:r>
        <w:rPr>
          <w:rFonts w:ascii="Times New Roman" w:hAnsi="Times New Roman" w:cs="Times New Roman"/>
          <w:b w:val="0"/>
          <w:i w:val="0"/>
          <w:sz w:val="16"/>
        </w:rPr>
      </w:r>
    </w:p>
    <w:p>
      <w:pPr>
        <w:spacing w:after="80" w:before="0" w:line="240" w:lineRule="auto"/>
        <w:jc w:val="left"/>
      </w:pPr>
      <w:r>
        <w:rPr>
          <w:rFonts w:ascii="Times New Roman" w:hAnsi="Times New Roman" w:cs="Times New Roman"/>
          <w:b/>
          <w:i w:val="0"/>
          <w:sz w:val="24"/>
        </w:rPr>
        <w:t>Авария 2. Отказ локальных очистных сооружений, исход И9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1644"/>
        <w:gridCol w:w="1474"/>
        <w:gridCol w:w="2268"/>
        <w:gridCol w:w="1474"/>
        <w:gridCol w:w="2494"/>
      </w:tblGrid>
      <w:tr>
        <w:tc>
          <w:tcPr>
            <w:tcW w:type="dxa" w:w="164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Критерий оценки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Интенсив-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ность /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вероятность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Ожидаемый ущерб / тяжесть последствий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Категория / зона риска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Требуемые управленческие решения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Общая оценка (по таблице 1)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10⁻²…10⁻⁴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(возможно)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Критическая: невосполнимый ущерб водному объекту (гибель гидробионтов), угрозы жизни людей нет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Категория В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Желателен детальный анализ риска, требуются меры обеспечения безопасности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Финансовый ущерб (по таблице 2)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10⁻²…10⁻³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случаев/год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≈ 25 млн руб.,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200–2000 МРОТ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Зона жёсткого контроля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Необходима оценка целесообразности мер по снижению риска</w:t>
            </w:r>
          </w:p>
        </w:tc>
      </w:tr>
      <w:tr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Социальный ущерб (по таблице 3)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10⁻²…10⁻³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случаев/год</w:t>
            </w:r>
          </w:p>
        </w:tc>
        <w:tc>
          <w:tcPr>
            <w:tcW w:type="dxa" w:w="2268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Лиц с потерей трудоспособности нет</w:t>
            </w:r>
          </w:p>
        </w:tc>
        <w:tc>
          <w:tcPr>
            <w:tcW w:type="dxa" w:w="147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Зона приемлемого риска</w:t>
            </w:r>
          </w:p>
        </w:tc>
        <w:tc>
          <w:tcPr>
            <w:tcW w:type="dxa" w:w="249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Нет необходимости в мероприятиях по снижению риска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Сравнение показывает, что по частотным критериям (таблицы 2, 3) каскадный пожар находится в зоне приемлемого риска только за счёт очень малой частоты, которая обеспечивается двумя независимыми барьерами. По качественному критерию (таблица 1) он остаётся в категории А, поэтому именно для резервуарного парка требуются особые меры безопасности. Сброс сточных вод менее тяжёл, но частота его выше, и по финансовому ущербу он попадает в зону жёсткого контроля.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4 Качественная оценка экологических рисков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Все 17 выявленных рисков размещены на матрице «вероятность — тяжесть последствий» (таблица 1 задания). Вероятность оценена по качественной шкале с учётом частот, полученных в разделе 2, тяжесть — по наиболее вероятному неблагоприятному исходу. Результат приведён на рисунке 3.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2939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2_matri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939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8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Рисунок 3 — Размещение рисков проекта на матрице «вероятность — тяжесть последствий» (коды рисков — по таблице 5)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4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Распределение рисков по категориям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1587"/>
        <w:gridCol w:w="3742"/>
        <w:gridCol w:w="3061"/>
        <w:gridCol w:w="963"/>
      </w:tblGrid>
      <w:tr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Категория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Требования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Риски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4"/>
              </w:rPr>
              <w:t>Кол-во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А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обязателен детальный анализ, особые меры безопасности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Р6, Р7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2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В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желателен детальный анализ, меры обеспечения безопасности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Р1, Р3, Р4, Р5, Р8, Р9, Р10, Р11, Р12, Р15, Р16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11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С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рекомендуется анализ и меры безопасности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Р2, Р13, Р17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3</w:t>
            </w:r>
          </w:p>
        </w:tc>
      </w:tr>
      <w:tr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Д</w:t>
            </w:r>
          </w:p>
        </w:tc>
        <w:tc>
          <w:tcPr>
            <w:tcW w:type="dxa" w:w="3742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меры не требуются</w:t>
            </w:r>
          </w:p>
        </w:tc>
        <w:tc>
          <w:tcPr>
            <w:tcW w:type="dxa" w:w="306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Р14</w:t>
            </w:r>
          </w:p>
        </w:tc>
        <w:tc>
          <w:tcPr>
            <w:tcW w:type="dxa" w:w="96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24"/>
              </w:rPr>
              <w:t>1</w:t>
            </w:r>
          </w:p>
        </w:tc>
      </w:tr>
    </w:tbl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Категорию А имеют два риска резервуарного парка — разгерметизация резервуара (Р6) и пожар с «эффектом домино» (Р7): последствия катастрофические, поэтому даже при малой частоте для них обязателен детальный анализ. Большинство рисков относится к категории В и требует штатных мер обеспечения безопасности. Риски категории С связаны с пылением, запахом, шумом и отходами демонтажа; единственный риск категории Д — истощение источника водоснабжения.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5 Реестр экологических рисков проекта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Реестр рисков охватывает все этапы жизненного цикла проекта и содержит для каждого риска вероятность, последствия, уровень риска и меры по управлению (таблица 5).</w:t>
      </w:r>
    </w:p>
    <w:p>
      <w:pPr>
        <w:spacing w:after="40" w:before="200" w:line="240" w:lineRule="auto"/>
        <w:jc w:val="right"/>
      </w:pPr>
      <w:r>
        <w:rPr>
          <w:rFonts w:ascii="Times New Roman" w:hAnsi="Times New Roman" w:cs="Times New Roman"/>
          <w:b w:val="0"/>
          <w:i w:val="0"/>
          <w:sz w:val="24"/>
        </w:rPr>
        <w:t>Таблица 5</w:t>
      </w:r>
    </w:p>
    <w:p>
      <w:pPr>
        <w:spacing w:after="120" w:before="0" w:line="240" w:lineRule="auto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Реестр экологических рисков проекта</w:t>
      </w:r>
    </w:p>
    <w:tbl>
      <w:tblPr>
        <w:tblStyle w:val="TableGrid"/>
        <w:tblLook w:firstColumn="1" w:firstRow="1" w:lastColumn="0" w:lastRow="0" w:noHBand="0" w:noVBand="1" w:val="04A0"/>
        <w:tblLayout w:type="fixed"/>
        <w:tblW w:w="9355" w:type="dxa"/>
      </w:tblPr>
      <w:tblGrid>
        <w:gridCol w:w="510"/>
        <w:gridCol w:w="1644"/>
        <w:gridCol w:w="1417"/>
        <w:gridCol w:w="1077"/>
        <w:gridCol w:w="1587"/>
        <w:gridCol w:w="737"/>
        <w:gridCol w:w="2381"/>
      </w:tblGrid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№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Риск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Этап проекта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Вероят-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ность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Последствия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Уро-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вень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18"/>
              </w:rPr>
              <w:t>Меры по управлению риском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Нарушение почвенного покрова, эрозия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Строительство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Вероятно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Снятие и складирование плодородного слоя в буртах, поэтапное освоение площадки, противоэрозионное закрепление откосов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Р2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Выбросы от строительной техники, пыление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Строительство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Часто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Пренебрежимые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Техника класса не ниже Экологический-4, увлажнение дорог и отвалов, остановка земляных работ при ветре &gt; 10 м/с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Р3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Разлив нефтепродуктов при заправке техники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Строительство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Вероятно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Заправка только на площадке с твёрдым покрытием и поддоном, запас сорбентов, передвижные АЗС с автоматическими пистолетами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Р4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Несанкционированное размещение строительных отходов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Строительство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Возможно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Договор с лицензированным перевозчиком, раздельный сбор, учёт в журнале движения отходов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Загрязнение поверхностного стока со стройплощадки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Строительство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Возможно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Временные водоотводные канавы и отстойники, мойка колёс на выезде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Р6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Разгерметизация резервуара с толуолом / ксилолом (дерево 1)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Возможно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Катастро-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фические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Двустенные резервуары, обвалование на 110 % объёма, датчики уровня и загазованности с автоматическим закрытием задвижек, ежегодная диагностика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Р7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Пожар в резервуарном парке, «эффект домино»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Редко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Катастро-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фические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А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Азотное дыхание резервуаров, АУПТ пенного тушения, водяное орошение соседних резервуаров, противопожарные разрывы, молниезащита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Р8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Выбросы ЛОС через дыхательные клапаны и неплотности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Вероятно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Система рекуперации паров, понтоны в резервуарах, программа LDAR (поиск и устранение утечек), контроль на границе СЗЗ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Р9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Сброс недостаточно очищенных сточных вод (дерево 2)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Вероятно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Автоанализатор на выпуске, аварийная ёмкость 400 м³, резервная линия сорбционной доочистки, оборотное водоснабжение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Р10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ДТП автоцистерны с растворителями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Редко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Согласованный маршрут в обход жилья, перевозчики с допуском ДОПОГ, аварийные карточки, договор с аварийно-спасательной службой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Р11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Обращение с опасными отходами (растворители, кубовые остатки)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Вероятно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Регенерация растворителей на месте, закрытые площадки накопления, передача лицензированной организации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Р12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Утечки из подземных коммуникаций, загрязнение подземных вод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Возможно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Надземная прокладка технологических трубопроводов, сеть наблюдательных скважин, ежеквартальный отбор проб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Р13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Запах и шум у жилой застройки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Вероятно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Пренебрежимые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Шумозащитные экраны, озеленение СЗЗ, приём и разбор жалоб населения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Р14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Истощение источника водоснабжения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Эксплуатация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Редко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Пренебрежимые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Д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Оборотное водоснабжение, учёт водопотребления, лимиты водопользования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Р15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Остатки растворителей при демонтаже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Вывод из эксплуатации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Возможно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Некритические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Пропарка и дегазация резервуаров перед демонтажем, приёмка по акту с замерами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Р16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Накопленное загрязнение грунтов площадки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Вывод из эксплуатации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Возможно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Критические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Инженерно-экологическое обследование, рекультивация, финансовое обеспечение ликвидации в бюджете проекта</w:t>
            </w:r>
          </w:p>
        </w:tc>
      </w:tr>
      <w:tr>
        <w:tc>
          <w:tcPr>
            <w:tcW w:type="dxa" w:w="510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Р17</w:t>
            </w:r>
          </w:p>
        </w:tc>
        <w:tc>
          <w:tcPr>
            <w:tcW w:type="dxa" w:w="1644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Загрязнённые отходы демонтажа</w:t>
            </w:r>
          </w:p>
        </w:tc>
        <w:tc>
          <w:tcPr>
            <w:tcW w:type="dxa" w:w="1417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Вывод из эксплуатации</w:t>
            </w:r>
          </w:p>
        </w:tc>
        <w:tc>
          <w:tcPr>
            <w:tcW w:type="dxa" w:w="107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Вероятно</w:t>
            </w:r>
          </w:p>
        </w:tc>
        <w:tc>
          <w:tcPr>
            <w:tcW w:type="dxa" w:w="158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Пренебрежимые</w:t>
            </w:r>
          </w:p>
        </w:tc>
        <w:tc>
          <w:tcPr>
            <w:tcW w:type="dxa" w:w="737"/>
          </w:tcPr>
          <w:p>
            <w:pPr>
              <w:spacing w:line="240" w:lineRule="auto" w:after="0" w:before="0"/>
              <w:jc w:val="center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</w:t>
            </w:r>
          </w:p>
        </w:tc>
        <w:tc>
          <w:tcPr>
            <w:tcW w:type="dxa" w:w="2381"/>
          </w:tcPr>
          <w:p>
            <w:pPr>
              <w:spacing w:line="240" w:lineRule="auto" w:after="0" w:befor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sz w:val="18"/>
              </w:rPr>
              <w:t>Сортировка по классам опасности, анализ загрязнённости, передача на обезвреживание</w:t>
            </w:r>
          </w:p>
        </w:tc>
      </w:tr>
    </w:tbl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6 Мероприятия по предотвращению и минимизации рисков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Технические мероприятия: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двустенные резервуары с азотной «подушкой» и понтонами, обвалование вместимостью не менее 110 % объёма наибольшего резервуара;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датчики уровня, давления и загазованности с автоматическим закрытием отсечных задвижек;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автоматическая установка пенного пожаротушения и стационарное водяное орошение соседних резервуаров;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система рекуперации паров растворителей при наливе и «дыхании» резервуаров;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автоматический анализатор качества стока на выпуске, аварийная ёмкость и резервная линия доочистки;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оборотное водоснабжение и регенерация растворителей.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Организационные мероприятия: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план мероприятий по локализации и ликвидации последствий аварий (ПМЛА) и план ликвидации разливов;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обучение и ежегодные противоаварийные тренировки персонала;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программа производственного экологического контроля: мониторинг воздуха на границе СЗЗ, стоков, подземных вод;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программа LDAR — регулярный поиск и устранение утечек;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согласованный маршрут и требования ДОПОГ для перевозчиков растворителей.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Компенсационные мероприятия: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рекультивация нарушенных при строительстве земель и озеленение санитарно-защитной зоны;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компенсация вреда водным биоресурсам (выпуск молоди рыб);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страхование гражданской ответственности владельца опасного объекта;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– резервирование средств на ликвидацию объекта и рекультивацию площадки после вывода из эксплуатации.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7 Выводы об экологической приемлемости проекта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Строительство химического завода сопряжено со значительными экологическими рисками, главный источник которых — резервуарный парк растворителей. Разгерметизация резервуара и каскадный пожар относятся к категории А по матрице «вероятность — тяжесть последствий», но за счёт двух независимых барьеров (обвалование и автоматическое пожаротушение) частота наиболее тяжёлого исхода снижена до 6·10⁻⁶ 1/год, что соответствует зоне приемлемого риска по финансовому и социальному ущербу.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Наиболее вероятная авария — сброс недостаточно очищенных сточных вод — находится в зоне жёсткого контроля по финансовому ущербу. Для неё целесообразны автоматический контроль стока и аварийная ёмкость, которые сокращают частоту длительного сброса.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Удалённость от жилой застройки (5 км) и размещение в промышленной зоне снижают социальный риск. Проект можно признать экологически приемлемым при обязательной реализации технических мер для резервуарного парка и очистных сооружений, а также программы производственного экологического контроля. Без этих мер риски Р6, Р7 и Р9 переходят в зону неприемлемого риска.</w:t>
      </w:r>
    </w:p>
    <w:p>
      <w:pPr>
        <w:spacing w:after="120" w:before="240" w:line="360" w:lineRule="auto"/>
        <w:ind w:firstLine="709"/>
        <w:jc w:val="left"/>
      </w:pPr>
      <w:r>
        <w:rPr>
          <w:rFonts w:ascii="Times New Roman" w:hAnsi="Times New Roman" w:cs="Times New Roman"/>
          <w:b/>
          <w:i w:val="0"/>
          <w:sz w:val="28"/>
        </w:rPr>
        <w:t>Список использованных источников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1. ГОСТ Р ИСО 21500-2014. Руководство по проектному менеджменту. — М.: Стандартинформ, 2015.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2. ГОСТ Р МЭК 62502-2014. Менеджмент риска. Анализ дерева событий. — М.: Стандартинформ, 2015.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3. ГОСТ Р 58771-2019. Менеджмент риска. Технологии оценки риска. — М.: Стандартинформ, 2020.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4. СанПиН 1.2.3685-21. Гигиенические нормативы и требования к обеспечению безопасности и (или) безвредности для человека факторов среды обитания.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5. Федеральный закон от 21.07.1997 № 116-ФЗ «О промышленной безопасности опасных производственных объектов».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6. Приказ Минприроды России от 13.04.2009 № 87 «Об утверждении Методики исчисления размера вреда, причинённого водным объектам вследствие нарушения водного законодательства».</w:t>
      </w:r>
    </w:p>
    <w:p>
      <w:pPr>
        <w:spacing w:after="40" w:before="0" w:line="360" w:lineRule="auto"/>
        <w:ind w:firstLine="709"/>
        <w:jc w:val="both"/>
      </w:pPr>
      <w:r>
        <w:rPr>
          <w:rFonts w:ascii="Times New Roman" w:hAnsi="Times New Roman" w:cs="Times New Roman"/>
          <w:b w:val="0"/>
          <w:i w:val="0"/>
          <w:sz w:val="28"/>
        </w:rPr>
        <w:t>7. Федеральный закон от 10.01.2002 № 7-ФЗ «Об охране окружающей среды».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