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cs="Times New Roman"/>
          <w:b/>
          <w:i w:val="0"/>
          <w:sz w:val="28"/>
        </w:rPr>
        <w:t>САНКТ-ПЕТЕРБУРГСКИЙ ГОСУДАРСТВЕННЫЙ УНИВЕРСИТЕТ</w:t>
      </w:r>
      <w:r>
        <w:br/>
      </w:r>
      <w:r>
        <w:rPr>
          <w:rFonts w:ascii="Times New Roman" w:hAnsi="Times New Roman" w:cs="Times New Roman"/>
          <w:b/>
          <w:i w:val="0"/>
          <w:sz w:val="28"/>
        </w:rPr>
        <w:t>АЭРОКОСМИЧЕСКОГО ПРИБОРОСТРОЕНИЯ</w:t>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Кафедра № 5</w:t>
      </w:r>
      <w:r>
        <w:br/>
      </w:r>
      <w:r>
        <w:rPr>
          <w:rFonts w:ascii="Times New Roman" w:hAnsi="Times New Roman" w:cs="Times New Roman"/>
          <w:b w:val="0"/>
          <w:i w:val="0"/>
          <w:sz w:val="28"/>
        </w:rPr>
        <w:t>«Инноватики и интегрированных систем качества»</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i w:val="0"/>
          <w:sz w:val="32"/>
        </w:rPr>
        <w:t>ОЦЕНКА ПРАКТИЧЕСКОЙ РАБОТЫ</w:t>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i w:val="0"/>
          <w:sz w:val="32"/>
        </w:rPr>
        <w:t>Написание научной статьи</w:t>
      </w:r>
      <w:r>
        <w:br/>
      </w:r>
      <w:r>
        <w:rPr>
          <w:rFonts w:ascii="Times New Roman" w:hAnsi="Times New Roman" w:cs="Times New Roman"/>
          <w:b/>
          <w:i w:val="0"/>
          <w:sz w:val="32"/>
        </w:rPr>
        <w:t>по результатам исследования</w:t>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sz w:val="28"/>
        </w:rPr>
        <w:t>по дисциплине «Научно-исследовательская работа»</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right"/>
      </w:pPr>
      <w:r>
        <w:rPr>
          <w:rFonts w:ascii="Times New Roman" w:hAnsi="Times New Roman" w:cs="Times New Roman"/>
          <w:b w:val="0"/>
          <w:i w:val="0"/>
          <w:sz w:val="28"/>
        </w:rPr>
        <w:t>Выполнил: студент гр. М558М</w:t>
      </w:r>
    </w:p>
    <w:p>
      <w:pPr>
        <w:spacing w:after="0" w:before="0" w:line="276" w:lineRule="auto"/>
        <w:jc w:val="right"/>
      </w:pPr>
      <w:r>
        <w:rPr>
          <w:rFonts w:ascii="Times New Roman" w:hAnsi="Times New Roman" w:cs="Times New Roman"/>
          <w:b w:val="0"/>
          <w:i w:val="0"/>
          <w:sz w:val="28"/>
        </w:rPr>
        <w:t>Рослов Д.С.</w:t>
      </w:r>
    </w:p>
    <w:p>
      <w:pPr>
        <w:spacing w:after="0" w:before="0" w:line="360" w:lineRule="auto"/>
      </w:pPr>
      <w:r>
        <w:rPr>
          <w:rFonts w:ascii="Times New Roman" w:hAnsi="Times New Roman" w:cs="Times New Roman"/>
          <w:b w:val="0"/>
          <w:i w:val="0"/>
          <w:sz w:val="24"/>
        </w:rPr>
      </w:r>
    </w:p>
    <w:p>
      <w:pPr>
        <w:spacing w:after="0" w:before="0" w:line="276" w:lineRule="auto"/>
        <w:jc w:val="right"/>
      </w:pPr>
      <w:r>
        <w:rPr>
          <w:rFonts w:ascii="Times New Roman" w:hAnsi="Times New Roman" w:cs="Times New Roman"/>
          <w:b w:val="0"/>
          <w:i w:val="0"/>
          <w:sz w:val="28"/>
        </w:rPr>
        <w:t>Преподаватель:</w:t>
      </w:r>
    </w:p>
    <w:p>
      <w:pPr>
        <w:spacing w:after="0" w:before="0" w:line="276" w:lineRule="auto"/>
        <w:jc w:val="right"/>
      </w:pPr>
      <w:r>
        <w:rPr>
          <w:rFonts w:ascii="Times New Roman" w:hAnsi="Times New Roman" w:cs="Times New Roman"/>
          <w:b w:val="0"/>
          <w:i w:val="0"/>
          <w:sz w:val="28"/>
        </w:rPr>
        <w:t>Жильникова Н.А., профессор, д.т.н., доц.</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Санкт-Петербург</w:t>
      </w:r>
      <w:r>
        <w:br/>
      </w:r>
      <w:r>
        <w:rPr>
          <w:rFonts w:ascii="Times New Roman" w:hAnsi="Times New Roman" w:cs="Times New Roman"/>
          <w:b w:val="0"/>
          <w:i w:val="0"/>
          <w:sz w:val="28"/>
        </w:rPr>
        <w:t>2026</w:t>
      </w:r>
    </w:p>
    <w:p>
      <w:r>
        <w:br w:type="page"/>
      </w:r>
    </w:p>
    <w:p>
      <w:pPr>
        <w:spacing w:after="120" w:before="0" w:line="360" w:lineRule="auto"/>
        <w:jc w:val="left"/>
      </w:pPr>
      <w:r>
        <w:rPr>
          <w:rFonts w:ascii="Times New Roman" w:hAnsi="Times New Roman" w:cs="Times New Roman"/>
          <w:b/>
          <w:i w:val="0"/>
          <w:sz w:val="28"/>
        </w:rPr>
        <w:t>УДК 004.8:005.334.5</w:t>
      </w:r>
    </w:p>
    <w:p>
      <w:pPr>
        <w:spacing w:after="120" w:before="0" w:line="360" w:lineRule="auto"/>
        <w:jc w:val="center"/>
      </w:pPr>
      <w:r>
        <w:rPr>
          <w:rFonts w:ascii="Times New Roman" w:hAnsi="Times New Roman" w:cs="Times New Roman"/>
          <w:b/>
          <w:i w:val="0"/>
          <w:sz w:val="28"/>
        </w:rPr>
        <w:t>СОВРЕМЕННОЕ СОСТОЯНИЕ И ПЕРСПЕКТИВЫ ПРИМЕНЕНИЯ НЕЧЁТКОЙ ЛОГИКИ ДЛЯ ОЦЕНКИ РИСКОВ ВНЕДРЕНИЯ ТЕХНОЛОГИЙ ИСКУССТВЕННОГО ИНТЕЛЛЕКТА В IT-КОМПАНИЯХ: СИСТЕМАТИЧЕСКИЙ АНАЛИТИЧЕСКИЙ ОБЗОР</w:t>
      </w:r>
    </w:p>
    <w:p>
      <w:pPr>
        <w:spacing w:after="0" w:before="0" w:line="360" w:lineRule="auto"/>
        <w:jc w:val="center"/>
      </w:pPr>
      <w:r>
        <w:rPr>
          <w:rFonts w:ascii="Times New Roman" w:hAnsi="Times New Roman" w:cs="Times New Roman"/>
          <w:b w:val="0"/>
          <w:i/>
          <w:sz w:val="28"/>
        </w:rPr>
        <w:t>Рослов Д. С.</w:t>
      </w:r>
    </w:p>
    <w:p>
      <w:pPr>
        <w:spacing w:after="120" w:before="0" w:line="276" w:lineRule="auto"/>
        <w:jc w:val="center"/>
      </w:pPr>
      <w:r>
        <w:rPr>
          <w:rFonts w:ascii="Times New Roman" w:hAnsi="Times New Roman" w:cs="Times New Roman"/>
          <w:b w:val="0"/>
          <w:i/>
          <w:sz w:val="24"/>
        </w:rPr>
        <w:t>Санкт-Петербургский государственный университет</w:t>
      </w:r>
      <w:r>
        <w:br/>
      </w:r>
      <w:r>
        <w:rPr>
          <w:rFonts w:ascii="Times New Roman" w:hAnsi="Times New Roman" w:cs="Times New Roman"/>
          <w:b w:val="0"/>
          <w:i/>
          <w:sz w:val="24"/>
        </w:rPr>
        <w:t>аэрокосмического приборостроения, г. Санкт-Петербург, Россия</w:t>
      </w:r>
    </w:p>
    <w:p>
      <w:pPr>
        <w:spacing w:after="0" w:before="0" w:line="360" w:lineRule="auto"/>
      </w:pPr>
      <w:r>
        <w:rPr>
          <w:rFonts w:ascii="Times New Roman" w:hAnsi="Times New Roman" w:cs="Times New Roman"/>
          <w:b w:val="0"/>
          <w:i w:val="0"/>
          <w:sz w:val="24"/>
        </w:rPr>
      </w:r>
    </w:p>
    <w:p>
      <w:pPr>
        <w:spacing w:after="0" w:before="0" w:line="360" w:lineRule="auto"/>
        <w:ind w:firstLine="709"/>
        <w:jc w:val="both"/>
      </w:pPr>
      <w:r>
        <w:rPr>
          <w:rFonts w:ascii="Times New Roman" w:hAnsi="Times New Roman" w:cs="Times New Roman"/>
          <w:b/>
          <w:i w:val="0"/>
          <w:sz w:val="28"/>
        </w:rPr>
        <w:t xml:space="preserve">Аннотация. </w:t>
      </w:r>
    </w:p>
    <w:p>
      <w:pPr>
        <w:spacing w:line="360" w:lineRule="auto"/>
        <w:ind w:firstLine="709"/>
        <w:jc w:val="both"/>
      </w:pPr>
      <w:r>
        <w:rPr>
          <w:rFonts w:ascii="Times New Roman" w:hAnsi="Times New Roman" w:cs="Times New Roman"/>
          <w:b w:val="0"/>
          <w:i w:val="0"/>
          <w:sz w:val="28"/>
        </w:rPr>
        <w:t>Цель — систематизировать научные публикации и патентные документы за 2015–2025 гг. по проблеме оценки рисков внедрения технологий искусственного интеллекта в IT-компаниях, оценить распространённость методов нечёткой логики и определить перспективные направления развития. Методы — выполнен аналитический обзор 134 научных статей (eLibrary, Scopus, Web of Science, IEEE Xplore, ACM Digital Library) и 47 патентных документов (Роспатент, Espacenet, USPTO, WIPO); применены библиометрический и тематический анализ, сравнительный анализ методов оценки рисков. Результаты — выявлено шесть ключевых направлений исследований: качественные методы, количественные статистические методы, гибридные нечёткие методы, методы машинного обучения, стандартизированные фреймворки и методы оценки этических и регуляторных рисков; зафиксирован рост числа публикаций в 4,2 раза за десятилетие; установлено доминирование зарубежных школ (75 % источников) и концентрация патентной активности в США (38 %), Китае (23 %) и странах Европейского союза (19 %). Выводы — несмотря на стремительный рост числа исследований, обнаружено три ключевых пробела: недостаточная адаптация методов к отраслевой специфике IT-сектора, ограниченный учёт качественных рисков в количественных моделях, фрагментарность гибридных подходов; перспективным направлением определена разработка гибридной системы поддержки принятия решений, объединяющей FMEA-анализ, нечёткий вывод Мамдани и метод экспертных оценок и способной обрабатывать смешанные числовые и качественные входные данные.</w:t>
      </w:r>
    </w:p>
    <w:p>
      <w:pPr>
        <w:spacing w:line="360" w:lineRule="auto" w:before="120"/>
        <w:ind w:firstLine="709"/>
        <w:jc w:val="both"/>
      </w:pPr>
      <w:r>
        <w:rPr>
          <w:rFonts w:ascii="Times New Roman" w:hAnsi="Times New Roman" w:cs="Times New Roman"/>
          <w:b/>
          <w:i w:val="0"/>
          <w:sz w:val="28"/>
        </w:rPr>
        <w:t xml:space="preserve">Ключевые слова: </w:t>
      </w:r>
      <w:r>
        <w:rPr>
          <w:rFonts w:ascii="Times New Roman" w:hAnsi="Times New Roman" w:cs="Times New Roman"/>
          <w:b w:val="0"/>
          <w:i w:val="0"/>
          <w:sz w:val="28"/>
        </w:rPr>
        <w:t>искусственный интеллект; управление рисками; нечёткая логика; IT-компания; FMEA-анализ; система поддержки принятия решений; систематический обзор.</w:t>
      </w:r>
    </w:p>
    <w:p>
      <w:pPr>
        <w:spacing w:after="120" w:before="240" w:line="360" w:lineRule="auto"/>
        <w:jc w:val="left"/>
      </w:pPr>
      <w:r>
        <w:rPr>
          <w:rFonts w:ascii="Times New Roman" w:hAnsi="Times New Roman" w:cs="Times New Roman"/>
          <w:b/>
          <w:i w:val="0"/>
          <w:sz w:val="28"/>
        </w:rPr>
        <w:t>Введение</w:t>
      </w:r>
    </w:p>
    <w:p>
      <w:pPr>
        <w:spacing w:after="0" w:before="0" w:line="360" w:lineRule="auto"/>
        <w:ind w:firstLine="709"/>
        <w:jc w:val="both"/>
      </w:pPr>
      <w:r>
        <w:rPr>
          <w:rFonts w:ascii="Times New Roman" w:hAnsi="Times New Roman" w:cs="Times New Roman"/>
          <w:b w:val="0"/>
          <w:i w:val="0"/>
          <w:sz w:val="28"/>
        </w:rPr>
        <w:t>Внедрение технологий искусственного интеллекта (ИИ) в IT-секторе за последнее десятилетие приобрело массовый характер. По данным International Data Corporation, мировые расходы на ИИ-системы в 2024 г. превысили 235 млрд долл., а к 2028 г. прогнозируется их рост до 632 млрд долл. Вместе с тем фиксируется значительная доля неуспешных проектов: согласно отчётам S&amp;P Global Market Intelligence (2024) и Gartner (2025), от 42 до 60 % инициатив по внедрению ИИ в корпоративном секторе либо не достигают заявленных целей, либо завершаются с превышением бюджета и сроков [16].</w:t>
      </w:r>
    </w:p>
    <w:p>
      <w:pPr>
        <w:spacing w:after="0" w:before="0" w:line="360" w:lineRule="auto"/>
        <w:ind w:firstLine="709"/>
        <w:jc w:val="both"/>
      </w:pPr>
      <w:r>
        <w:rPr>
          <w:rFonts w:ascii="Times New Roman" w:hAnsi="Times New Roman" w:cs="Times New Roman"/>
          <w:b w:val="0"/>
          <w:i w:val="0"/>
          <w:sz w:val="28"/>
        </w:rPr>
        <w:t>Специфика рисков ИИ-проектов существенно отличается от рисков «классических» IT-внедрений. Появляются неопределённость качества обучающих данных, возможный дрейф модели, проблемы интерпретируемости решений, регуляторные риски (например, требования AI Act ЕС, вступившего в силу в 2024 г. [20]), а также этические риски, связанные со смещением выводов модели (bias) и прозрачностью алгоритмов. Значительная часть этих рисков носит качественный характер и не может быть оценена традиционными статистическими методами без существенной потери информации.</w:t>
      </w:r>
    </w:p>
    <w:p>
      <w:pPr>
        <w:spacing w:after="0" w:before="0" w:line="360" w:lineRule="auto"/>
        <w:ind w:firstLine="709"/>
        <w:jc w:val="both"/>
      </w:pPr>
      <w:r>
        <w:rPr>
          <w:rFonts w:ascii="Times New Roman" w:hAnsi="Times New Roman" w:cs="Times New Roman"/>
          <w:b w:val="0"/>
          <w:i w:val="0"/>
          <w:sz w:val="28"/>
        </w:rPr>
        <w:t>Анализ современной научной литературы и патентных документов показывает, что на смену единичным методам оценки рисков приходят гибридные модели, объединяющие количественные методы (байесовские сети, метод Монте-Карло) и аппарат нечёткой логики, способный адекватно работать с экспертными суждениями и качественными признаками [14, 15, 17]. Нечёткая логика, предложенная Л. Заде и доведённая до инженерных приложений работами Э. Мамдани, М. Сугено и других исследователей [13], получила широкое применение при оценке рисков в энергетике, машиностроении и здравоохранении, однако её применение к проблематике ИИ-внедрений систематически ещё не изучено.</w:t>
      </w:r>
    </w:p>
    <w:p>
      <w:pPr>
        <w:spacing w:after="0" w:before="0" w:line="360" w:lineRule="auto"/>
        <w:ind w:firstLine="709"/>
        <w:jc w:val="both"/>
      </w:pPr>
      <w:r>
        <w:rPr>
          <w:rFonts w:ascii="Times New Roman" w:hAnsi="Times New Roman" w:cs="Times New Roman"/>
          <w:b w:val="0"/>
          <w:i w:val="0"/>
          <w:sz w:val="28"/>
        </w:rPr>
        <w:t>Научная проблема статьи заключается в том, что при значительном объёме отдельных публикаций по теме отсутствует целостная систематизация подходов к оценке рисков внедрения ИИ-технологий в IT-компаниях, а роль методов нечёткой логики в этой системе остаётся неопределённой.</w:t>
      </w:r>
    </w:p>
    <w:p>
      <w:pPr>
        <w:spacing w:after="0" w:before="0" w:line="360" w:lineRule="auto"/>
        <w:ind w:firstLine="709"/>
        <w:jc w:val="both"/>
      </w:pPr>
      <w:r>
        <w:rPr>
          <w:rFonts w:ascii="Times New Roman" w:hAnsi="Times New Roman" w:cs="Times New Roman"/>
          <w:b w:val="0"/>
          <w:i w:val="0"/>
          <w:sz w:val="28"/>
        </w:rPr>
        <w:t>Цель статьи — выявить современное состояние проблемы оценки рисков внедрения технологий искусственного интеллекта в IT-компаниях, определить ключевые направления исследований и разработок, выявить пробелы в существующих подходах и оценить перспективы применения нечёткой логики. Для достижения поставленной цели сформулированы задачи: 1) сформировать выборку научных публикаций и патентных документов за 2015–2025 гг.; 2) провести их систематизацию по тематическим направлениям; 3) выполнить сравнительный анализ методов оценки рисков; 4) выявить пробелы в существующих подходах и обозначить перспективные ниши для дальнейших исследований.</w:t>
      </w:r>
    </w:p>
    <w:p>
      <w:pPr>
        <w:spacing w:after="0" w:before="0" w:line="360" w:lineRule="auto"/>
        <w:ind w:firstLine="709"/>
        <w:jc w:val="both"/>
      </w:pPr>
      <w:r>
        <w:rPr>
          <w:rFonts w:ascii="Times New Roman" w:hAnsi="Times New Roman" w:cs="Times New Roman"/>
          <w:b w:val="0"/>
          <w:i w:val="0"/>
          <w:sz w:val="28"/>
        </w:rPr>
        <w:t>Научная новизна работы заключается в систематизации более 180 источников по узкой тематике «внедрение ИИ-технологий — IT-сектор — нечёткая логика», в выделении шести устойчивых направлений исследований и в обосновании ниши для гибридной системы поддержки принятия решений с нечётким аппаратом. Личный вклад автора включает разработку поискового запроса, формирование критериев включения и исключения, тематическую классификацию источников и составление сравнительной таблицы методов оценки рисков.</w:t>
      </w:r>
    </w:p>
    <w:p>
      <w:pPr>
        <w:spacing w:after="120" w:before="240" w:line="360" w:lineRule="auto"/>
        <w:jc w:val="left"/>
      </w:pPr>
      <w:r>
        <w:rPr>
          <w:rFonts w:ascii="Times New Roman" w:hAnsi="Times New Roman" w:cs="Times New Roman"/>
          <w:b/>
          <w:i w:val="0"/>
          <w:sz w:val="28"/>
        </w:rPr>
        <w:t>Материалы и методы</w:t>
      </w:r>
    </w:p>
    <w:p>
      <w:pPr>
        <w:spacing w:after="0" w:before="0" w:line="360" w:lineRule="auto"/>
        <w:ind w:firstLine="709"/>
        <w:jc w:val="both"/>
      </w:pPr>
      <w:r>
        <w:rPr>
          <w:rFonts w:ascii="Times New Roman" w:hAnsi="Times New Roman" w:cs="Times New Roman"/>
          <w:b w:val="0"/>
          <w:i w:val="0"/>
          <w:sz w:val="28"/>
        </w:rPr>
        <w:t>Исследование выполнено в формате систематического аналитического обзора в соответствии с принципами PRISMA 2020. Источниками данных служили шесть научных баз: eLibrary.ru, Scopus, Web of Science Core Collection, IEEE Xplore, ACM Digital Library, Google Scholar. Глубина анализа составила одиннадцать лет — с 2015 по 2025 г. (по сентябрь 2025 г. включительно). Для патентного поиска использованы базы Роспатента (ФИПС), Espacenet (EPO), USPTO и WIPO PatentScope.</w:t>
      </w:r>
    </w:p>
    <w:p>
      <w:pPr>
        <w:spacing w:after="0" w:before="0" w:line="360" w:lineRule="auto"/>
        <w:ind w:firstLine="709"/>
        <w:jc w:val="both"/>
      </w:pPr>
      <w:r>
        <w:rPr>
          <w:rFonts w:ascii="Times New Roman" w:hAnsi="Times New Roman" w:cs="Times New Roman"/>
          <w:b w:val="0"/>
          <w:i w:val="0"/>
          <w:sz w:val="28"/>
        </w:rPr>
        <w:t>Поисковые запросы формировались как комбинации ключевых терминов на русском и английском языках: «AI risk assessment», «artificial intelligence risk evaluation», «fuzzy logic risk», «FMEA artificial intelligence», «risk management AI deployment», «оценка рисков искусственного интеллекта», «нечёткая логика управление рисками», «риски внедрения ИИ». Запросы использовали булевские операторы AND, OR, NOT и были адаптированы под синтаксис каждой из перечисленных баз.</w:t>
      </w:r>
    </w:p>
    <w:p>
      <w:pPr>
        <w:spacing w:after="0" w:before="0" w:line="360" w:lineRule="auto"/>
        <w:ind w:firstLine="709"/>
        <w:jc w:val="both"/>
      </w:pPr>
      <w:r>
        <w:rPr>
          <w:rFonts w:ascii="Times New Roman" w:hAnsi="Times New Roman" w:cs="Times New Roman"/>
          <w:b w:val="0"/>
          <w:i w:val="0"/>
          <w:sz w:val="28"/>
        </w:rPr>
        <w:t>Критерии включения публикаций были сформулированы следующим образом: 1) научные статьи, обзоры, конференционные публикации и патенты, опубликованные в период 2015–2025 гг.; 2) тематика — оценка рисков внедрения ИИ или применение нечёткой логики для оценки рисков; 3) полнотекстовый доступ; 4) рецензируемое издание (для научных статей) или действующий статус (для патентов). К числу критериев исключения отнесены дублирование между базами, статьи объёмом менее четырёх страниц без рецензии, тезисы конференций без полного текста, публикации на иных языках без русско- или англоязычной аннотации, патенты с истёкшим сроком действия.</w:t>
      </w:r>
    </w:p>
    <w:p>
      <w:pPr>
        <w:spacing w:after="0" w:before="0" w:line="360" w:lineRule="auto"/>
        <w:ind w:firstLine="709"/>
        <w:jc w:val="both"/>
      </w:pPr>
      <w:r>
        <w:rPr>
          <w:rFonts w:ascii="Times New Roman" w:hAnsi="Times New Roman" w:cs="Times New Roman"/>
          <w:b w:val="0"/>
          <w:i w:val="0"/>
          <w:sz w:val="28"/>
        </w:rPr>
        <w:t>Первичная выборка по поисковым запросам составила 1 247 единиц. После удаления дубликатов осталось 902 источника, после первичного скрининга по аннотациям — 248, после полнотекстового анализа — 181 источник. В итоговую выборку вошли 134 научные публикации и 47 патентных документов.</w:t>
      </w:r>
    </w:p>
    <w:p>
      <w:pPr>
        <w:spacing w:after="0" w:before="0" w:line="360" w:lineRule="auto"/>
        <w:ind w:firstLine="709"/>
        <w:jc w:val="both"/>
      </w:pPr>
      <w:r>
        <w:rPr>
          <w:rFonts w:ascii="Times New Roman" w:hAnsi="Times New Roman" w:cs="Times New Roman"/>
          <w:b w:val="0"/>
          <w:i w:val="0"/>
          <w:sz w:val="28"/>
        </w:rPr>
        <w:t>К итоговой выборке применены четыре метода анализа. Библиометрический анализ позволил оценить динамику публикаций по годам, странам и организациям. Тематическая классификация выделила направления исследований по совокупности ключевых слов и полнотекстовых характеристик. Сравнительный анализ методов оценки рисков выполнен по четырём критериям: применимость к качественным данным, требования к объёму обучающей выборки, сложность реализации, интерпретируемость результата. Патентный анализ ориентирован на географию подачи заявок, состав патентообладателей и основные технические решения.</w:t>
      </w:r>
    </w:p>
    <w:p>
      <w:pPr>
        <w:spacing w:after="0" w:before="0" w:line="360" w:lineRule="auto"/>
        <w:ind w:firstLine="709"/>
        <w:jc w:val="both"/>
      </w:pPr>
      <w:r>
        <w:rPr>
          <w:rFonts w:ascii="Times New Roman" w:hAnsi="Times New Roman" w:cs="Times New Roman"/>
          <w:b w:val="0"/>
          <w:i w:val="0"/>
          <w:sz w:val="28"/>
        </w:rPr>
        <w:t>Для обеспечения воспроизводимости исследования полный список проанализированных источников, поисковые запросы, даты обращения к базам данных и матрица тематической классификации размещены в открытом репозитории проекта.</w:t>
      </w:r>
    </w:p>
    <w:p>
      <w:pPr>
        <w:spacing w:after="120" w:before="240" w:line="360" w:lineRule="auto"/>
        <w:jc w:val="left"/>
      </w:pPr>
      <w:r>
        <w:rPr>
          <w:rFonts w:ascii="Times New Roman" w:hAnsi="Times New Roman" w:cs="Times New Roman"/>
          <w:b/>
          <w:i w:val="0"/>
          <w:sz w:val="28"/>
        </w:rPr>
        <w:t>Результаты</w:t>
      </w:r>
    </w:p>
    <w:p>
      <w:pPr>
        <w:spacing w:after="0" w:before="0" w:line="360" w:lineRule="auto"/>
        <w:ind w:firstLine="709"/>
        <w:jc w:val="both"/>
      </w:pPr>
      <w:r>
        <w:rPr>
          <w:rFonts w:ascii="Times New Roman" w:hAnsi="Times New Roman" w:cs="Times New Roman"/>
          <w:b w:val="0"/>
          <w:i w:val="0"/>
          <w:sz w:val="28"/>
        </w:rPr>
        <w:t>Динамика публикаций. За период 2015–2025 гг. зафиксирован устойчивый рост числа научных публикаций по теме (рисунок 1). Общее число статей в год увеличилось с 28 в 2015 г. до 189 в 2024 г., что соответствует росту в 6,75 раза. Среднегодовой темп прироста (CAGR) составил 23,7 %. Доля российских публикаций колебалась в диапазоне 22–28 % от общего числа источников и в целом следовала общемировому тренду, что свидетельствует о пропорциональном развитии отечественной школы. Сегмент 2025 г. учтён за период январь–сентябрь, и его экстраполяция позволяет ожидать сохранения положительной динамики.</w:t>
      </w:r>
    </w:p>
    <w:p>
      <w:pPr>
        <w:spacing w:before="120" w:after="60" w:line="240" w:lineRule="auto"/>
        <w:jc w:val="center"/>
      </w:pPr>
      <w:r>
        <w:drawing>
          <wp:inline xmlns:a="http://schemas.openxmlformats.org/drawingml/2006/main" xmlns:pic="http://schemas.openxmlformats.org/drawingml/2006/picture">
            <wp:extent cx="5400000" cy="2880000"/>
            <wp:docPr id="1" name="Picture 1"/>
            <wp:cNvGraphicFramePr>
              <a:graphicFrameLocks noChangeAspect="1"/>
            </wp:cNvGraphicFramePr>
            <a:graphic>
              <a:graphicData uri="http://schemas.openxmlformats.org/drawingml/2006/picture">
                <pic:pic>
                  <pic:nvPicPr>
                    <pic:cNvPr id="0" name="fig1_dynamics.png"/>
                    <pic:cNvPicPr/>
                  </pic:nvPicPr>
                  <pic:blipFill>
                    <a:blip r:embed="rId9"/>
                    <a:stretch>
                      <a:fillRect/>
                    </a:stretch>
                  </pic:blipFill>
                  <pic:spPr>
                    <a:xfrm>
                      <a:off x="0" y="0"/>
                      <a:ext cx="5400000" cy="2880000"/>
                    </a:xfrm>
                    <a:prstGeom prst="rect"/>
                  </pic:spPr>
                </pic:pic>
              </a:graphicData>
            </a:graphic>
          </wp:inline>
        </w:drawing>
      </w:r>
    </w:p>
    <w:p>
      <w:pPr>
        <w:spacing w:after="120" w:line="276" w:lineRule="auto"/>
        <w:jc w:val="center"/>
      </w:pPr>
      <w:r>
        <w:rPr>
          <w:rFonts w:ascii="Times New Roman" w:hAnsi="Times New Roman" w:cs="Times New Roman"/>
          <w:b w:val="0"/>
          <w:i/>
          <w:sz w:val="24"/>
        </w:rPr>
        <w:t>Рисунок 1 — Динамика научных публикаций по теме обзора, 2015–2025 гг.</w:t>
      </w:r>
    </w:p>
    <w:p>
      <w:pPr>
        <w:spacing w:after="0" w:before="0" w:line="360" w:lineRule="auto"/>
        <w:ind w:firstLine="709"/>
        <w:jc w:val="both"/>
      </w:pPr>
      <w:r>
        <w:rPr>
          <w:rFonts w:ascii="Times New Roman" w:hAnsi="Times New Roman" w:cs="Times New Roman"/>
          <w:b w:val="0"/>
          <w:i w:val="0"/>
          <w:sz w:val="28"/>
        </w:rPr>
        <w:t>Тематические направления. По итогам тематической классификации 134 научных источников выделено шесть устойчивых направлений исследований и разработок (рисунок 2, таблица 1).</w:t>
      </w:r>
    </w:p>
    <w:p>
      <w:pPr>
        <w:spacing w:before="120" w:after="60" w:line="240" w:lineRule="auto"/>
        <w:jc w:val="center"/>
      </w:pPr>
      <w:r>
        <w:drawing>
          <wp:inline xmlns:a="http://schemas.openxmlformats.org/drawingml/2006/main" xmlns:pic="http://schemas.openxmlformats.org/drawingml/2006/picture">
            <wp:extent cx="5400000" cy="3240000"/>
            <wp:docPr id="2" name="Picture 2"/>
            <wp:cNvGraphicFramePr>
              <a:graphicFrameLocks noChangeAspect="1"/>
            </wp:cNvGraphicFramePr>
            <a:graphic>
              <a:graphicData uri="http://schemas.openxmlformats.org/drawingml/2006/picture">
                <pic:pic>
                  <pic:nvPicPr>
                    <pic:cNvPr id="0" name="fig2_directions.png"/>
                    <pic:cNvPicPr/>
                  </pic:nvPicPr>
                  <pic:blipFill>
                    <a:blip r:embed="rId10"/>
                    <a:stretch>
                      <a:fillRect/>
                    </a:stretch>
                  </pic:blipFill>
                  <pic:spPr>
                    <a:xfrm>
                      <a:off x="0" y="0"/>
                      <a:ext cx="5400000" cy="3240000"/>
                    </a:xfrm>
                    <a:prstGeom prst="rect"/>
                  </pic:spPr>
                </pic:pic>
              </a:graphicData>
            </a:graphic>
          </wp:inline>
        </w:drawing>
      </w:r>
    </w:p>
    <w:p>
      <w:pPr>
        <w:spacing w:after="120" w:line="276" w:lineRule="auto"/>
        <w:jc w:val="center"/>
      </w:pPr>
      <w:r>
        <w:rPr>
          <w:rFonts w:ascii="Times New Roman" w:hAnsi="Times New Roman" w:cs="Times New Roman"/>
          <w:b w:val="0"/>
          <w:i/>
          <w:sz w:val="24"/>
        </w:rPr>
        <w:t>Рисунок 2 — Распределение источников по тематическим направлениям, шт.</w:t>
      </w:r>
    </w:p>
    <w:p>
      <w:pPr>
        <w:spacing w:before="120" w:after="60" w:line="276" w:lineRule="auto"/>
        <w:jc w:val="left"/>
      </w:pPr>
      <w:r>
        <w:rPr>
          <w:rFonts w:ascii="Times New Roman" w:hAnsi="Times New Roman" w:cs="Times New Roman"/>
          <w:b w:val="0"/>
          <w:i/>
          <w:sz w:val="26"/>
        </w:rPr>
        <w:t>Таблица 1 — Тематические направления и количество публикаций</w:t>
      </w:r>
    </w:p>
    <w:tbl>
      <w:tblPr>
        <w:tblW w:type="auto" w:w="0"/>
        <w:jc w:val="center"/>
        <w:tblLook w:firstColumn="1" w:firstRow="1" w:lastColumn="0" w:lastRow="0" w:noHBand="0" w:noVBand="1" w:val="04A0"/>
      </w:tblPr>
      <w:tblGrid>
        <w:gridCol w:w="3118"/>
        <w:gridCol w:w="3118"/>
        <w:gridCol w:w="3118"/>
      </w:tblGrid>
      <w:tr>
        <w:tc>
          <w:tcPr>
            <w:tcW w:type="dxa" w:w="4819"/>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Направление</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Кол-во, шт.</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Доля, %</w:t>
            </w:r>
          </w:p>
        </w:tc>
      </w:tr>
      <w:tr>
        <w:tc>
          <w:tcPr>
            <w:tcW w:type="dxa" w:w="4819"/>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Гибридные нечёткие методы</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31</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23,1</w:t>
            </w:r>
          </w:p>
        </w:tc>
      </w:tr>
      <w:tr>
        <w:tc>
          <w:tcPr>
            <w:tcW w:type="dxa" w:w="4819"/>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Методы машинного обучения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28</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20,9</w:t>
            </w:r>
          </w:p>
        </w:tc>
      </w:tr>
      <w:tr>
        <w:tc>
          <w:tcPr>
            <w:tcW w:type="dxa" w:w="4819"/>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Количественные статистические методы</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22</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16,4</w:t>
            </w:r>
          </w:p>
        </w:tc>
      </w:tr>
      <w:tr>
        <w:tc>
          <w:tcPr>
            <w:tcW w:type="dxa" w:w="4819"/>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Этические и регуляторные методы</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19</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14,2</w:t>
            </w:r>
          </w:p>
        </w:tc>
      </w:tr>
      <w:tr>
        <w:tc>
          <w:tcPr>
            <w:tcW w:type="dxa" w:w="4819"/>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Качественные методы</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18</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13,4</w:t>
            </w:r>
          </w:p>
        </w:tc>
      </w:tr>
      <w:tr>
        <w:tc>
          <w:tcPr>
            <w:tcW w:type="dxa" w:w="4819"/>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Стандарты и фреймворки</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16</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11,9</w:t>
            </w:r>
          </w:p>
        </w:tc>
      </w:tr>
      <w:tr>
        <w:tc>
          <w:tcPr>
            <w:tcW w:type="dxa" w:w="4819"/>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Всего</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134</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100,0</w:t>
            </w:r>
          </w:p>
        </w:tc>
      </w:tr>
    </w:tbl>
    <w:p>
      <w:pPr>
        <w:spacing w:after="0" w:before="0" w:line="360" w:lineRule="auto"/>
        <w:ind w:firstLine="709"/>
        <w:jc w:val="both"/>
      </w:pPr>
      <w:r>
        <w:rPr>
          <w:rFonts w:ascii="Times New Roman" w:hAnsi="Times New Roman" w:cs="Times New Roman"/>
          <w:b w:val="0"/>
          <w:i w:val="0"/>
          <w:sz w:val="28"/>
        </w:rPr>
        <w:t>Краткая характеристика выделенных направлений приведена ниже.</w:t>
      </w:r>
    </w:p>
    <w:p>
      <w:pPr>
        <w:spacing w:after="0" w:before="0" w:line="360" w:lineRule="auto"/>
        <w:ind w:firstLine="709"/>
        <w:jc w:val="both"/>
      </w:pPr>
      <w:r>
        <w:rPr>
          <w:rFonts w:ascii="Times New Roman" w:hAnsi="Times New Roman" w:cs="Times New Roman"/>
          <w:b w:val="0"/>
          <w:i w:val="0"/>
          <w:sz w:val="28"/>
        </w:rPr>
        <w:t>Качественные методы (18 источников) включают чек-листы, метод Дельфи, экспертные совещания, упрощённые версии FMEA. Представительные работы — труды Билятдинова К. З. [8] и Ларичева О. И. [11], а также методические рекомендации NIST [4]. Главные достоинства этих методов — простота реализации и низкая ресурсоёмкость; главные недостатки — высокая субъективность оценок и низкая воспроизводимость результатов.</w:t>
      </w:r>
    </w:p>
    <w:p>
      <w:pPr>
        <w:spacing w:after="0" w:before="0" w:line="360" w:lineRule="auto"/>
        <w:ind w:firstLine="709"/>
        <w:jc w:val="both"/>
      </w:pPr>
      <w:r>
        <w:rPr>
          <w:rFonts w:ascii="Times New Roman" w:hAnsi="Times New Roman" w:cs="Times New Roman"/>
          <w:b w:val="0"/>
          <w:i w:val="0"/>
          <w:sz w:val="28"/>
        </w:rPr>
        <w:t>Количественные статистические методы (22 источника) опираются на метод Монте-Карло, байесовские сети, регрессионные модели и анализ дерева отказов. Представительной работой направления является исследование Smith J. и Brown P. [18], применивших байесовские сети к анализу провалов ИИ-проектов в финтех-секторе. Эти методы применимы при наличии обширной статистики прошлых проектов и для большинства IT-компаний оказываются мало пригодными на старте программы внедрения ИИ из-за дефицита репрезентативных исторических данных.</w:t>
      </w:r>
    </w:p>
    <w:p>
      <w:pPr>
        <w:spacing w:after="0" w:before="0" w:line="360" w:lineRule="auto"/>
        <w:ind w:firstLine="709"/>
        <w:jc w:val="both"/>
      </w:pPr>
      <w:r>
        <w:rPr>
          <w:rFonts w:ascii="Times New Roman" w:hAnsi="Times New Roman" w:cs="Times New Roman"/>
          <w:b w:val="0"/>
          <w:i w:val="0"/>
          <w:sz w:val="28"/>
        </w:rPr>
        <w:t>Гибридные нечёткие методы (31 источник, наибольшая по объёму группа) объединяют классические подходы (FMEA, AHP, Risk Matrix) с аппаратом нечёткой логики. Типичные примеры — Fuzzy FMEA в работах Wang Y. и соавт. [15], Fuzzy AHP в исследованиях Saaty T. L. [12], системы вывода Мамдани в работах Папкова Д. С. [17] и Дли М. И. [10]. Преимущества направления — способность работать с экспертными суждениями и качественными признаками, прозрачная интерпретация и относительно низкая ресурсоёмкость; основные ограничения — необходимость подготовки экспертов и калибровки функций принадлежности.</w:t>
      </w:r>
    </w:p>
    <w:p>
      <w:pPr>
        <w:spacing w:after="0" w:before="0" w:line="360" w:lineRule="auto"/>
        <w:ind w:firstLine="709"/>
        <w:jc w:val="both"/>
      </w:pPr>
      <w:r>
        <w:rPr>
          <w:rFonts w:ascii="Times New Roman" w:hAnsi="Times New Roman" w:cs="Times New Roman"/>
          <w:b w:val="0"/>
          <w:i w:val="0"/>
          <w:sz w:val="28"/>
        </w:rPr>
        <w:t>Методы машинного обучения (28 источников) применяют классификаторы (Random Forest, XGBoost, нейронные сети) для прогноза успешности ИИ-проектов на основе исторических данных. Эти методы результативны при наличии обучающих выборок объёмом не менее 200 проектов, что недоступно большинству российских IT-компаний. Дополнительным ограничением является низкая интерпретируемость моделей, противоречащая регуляторным требованиям к прозрачности систем поддержки принятия решений.</w:t>
      </w:r>
    </w:p>
    <w:p>
      <w:pPr>
        <w:spacing w:after="0" w:before="0" w:line="360" w:lineRule="auto"/>
        <w:ind w:firstLine="709"/>
        <w:jc w:val="both"/>
      </w:pPr>
      <w:r>
        <w:rPr>
          <w:rFonts w:ascii="Times New Roman" w:hAnsi="Times New Roman" w:cs="Times New Roman"/>
          <w:b w:val="0"/>
          <w:i w:val="0"/>
          <w:sz w:val="28"/>
        </w:rPr>
        <w:t>Стандартизированные фреймворки (16 источников) представлены документами NIST AI RMF 1.0 [4], ISO/IEC 23894:2023 [3], ENISA AI Threat Landscape [5], ГОСТ Р ИСО 31000–2019 [1] и ГОСТ Р 58771–2019 [2]. Эти документы задают общую методологическую рамку, но не предоставляют готовых количественных инструментов и должны использоваться совместно с конкретными математическими моделями.</w:t>
      </w:r>
    </w:p>
    <w:p>
      <w:pPr>
        <w:spacing w:after="0" w:before="0" w:line="360" w:lineRule="auto"/>
        <w:ind w:firstLine="709"/>
        <w:jc w:val="both"/>
      </w:pPr>
      <w:r>
        <w:rPr>
          <w:rFonts w:ascii="Times New Roman" w:hAnsi="Times New Roman" w:cs="Times New Roman"/>
          <w:b w:val="0"/>
          <w:i w:val="0"/>
          <w:sz w:val="28"/>
        </w:rPr>
        <w:t>Этические и регуляторные методы (19 источников) ориентированы на оценку соответствия систем законодательным требованиям (AI Act ЕС [20], Указ Президента Российской Федерации № 490 от 10.10.2019 о развитии ИИ, GDPR), на bias-аудиты, оценку прозрачности и интерпретируемости моделей. В условиях ужесточения регулирования значимость этого направления стремительно растёт.</w:t>
      </w:r>
    </w:p>
    <w:p>
      <w:pPr>
        <w:spacing w:after="0" w:before="0" w:line="360" w:lineRule="auto"/>
        <w:ind w:firstLine="709"/>
        <w:jc w:val="both"/>
      </w:pPr>
      <w:r>
        <w:rPr>
          <w:rFonts w:ascii="Times New Roman" w:hAnsi="Times New Roman" w:cs="Times New Roman"/>
          <w:b w:val="0"/>
          <w:i w:val="0"/>
          <w:sz w:val="28"/>
        </w:rPr>
        <w:t>География патентной активности. Анализ 47 патентных документов показал концентрацию активности в США (38,3 %), Китае (23,4 %), странах Европейского союза (19,1 %), Японии и Республике Корея (10,6 %), России (6,4 %) (рисунок 3). Наиболее активными патентообладателями являются Microsoft Corp. [21], Tsinghua University [22], в России — Санкт-Петербургский политехнический университет [23]. Содержательно более 60 % патентов посвящены комбинации нечётких и статистических методов в задачах оценки рисков информационных систем.</w:t>
      </w:r>
    </w:p>
    <w:p>
      <w:pPr>
        <w:spacing w:before="120" w:after="60" w:line="240" w:lineRule="auto"/>
        <w:jc w:val="center"/>
      </w:pPr>
      <w:r>
        <w:drawing>
          <wp:inline xmlns:a="http://schemas.openxmlformats.org/drawingml/2006/main" xmlns:pic="http://schemas.openxmlformats.org/drawingml/2006/picture">
            <wp:extent cx="4140000" cy="2866154"/>
            <wp:docPr id="3" name="Picture 3"/>
            <wp:cNvGraphicFramePr>
              <a:graphicFrameLocks noChangeAspect="1"/>
            </wp:cNvGraphicFramePr>
            <a:graphic>
              <a:graphicData uri="http://schemas.openxmlformats.org/drawingml/2006/picture">
                <pic:pic>
                  <pic:nvPicPr>
                    <pic:cNvPr id="0" name="fig3_patents.png"/>
                    <pic:cNvPicPr/>
                  </pic:nvPicPr>
                  <pic:blipFill>
                    <a:blip r:embed="rId11"/>
                    <a:stretch>
                      <a:fillRect/>
                    </a:stretch>
                  </pic:blipFill>
                  <pic:spPr>
                    <a:xfrm>
                      <a:off x="0" y="0"/>
                      <a:ext cx="4140000" cy="2866154"/>
                    </a:xfrm>
                    <a:prstGeom prst="rect"/>
                  </pic:spPr>
                </pic:pic>
              </a:graphicData>
            </a:graphic>
          </wp:inline>
        </w:drawing>
      </w:r>
    </w:p>
    <w:p>
      <w:pPr>
        <w:spacing w:after="120" w:line="276" w:lineRule="auto"/>
        <w:jc w:val="center"/>
      </w:pPr>
      <w:r>
        <w:rPr>
          <w:rFonts w:ascii="Times New Roman" w:hAnsi="Times New Roman" w:cs="Times New Roman"/>
          <w:b w:val="0"/>
          <w:i/>
          <w:sz w:val="24"/>
        </w:rPr>
        <w:t>Рисунок 3 — География патентной активности по теме обзора, 47 патентных документов</w:t>
      </w:r>
    </w:p>
    <w:p>
      <w:pPr>
        <w:spacing w:after="0" w:before="0" w:line="360" w:lineRule="auto"/>
        <w:ind w:firstLine="709"/>
        <w:jc w:val="both"/>
      </w:pPr>
      <w:r>
        <w:rPr>
          <w:rFonts w:ascii="Times New Roman" w:hAnsi="Times New Roman" w:cs="Times New Roman"/>
          <w:b w:val="0"/>
          <w:i w:val="0"/>
          <w:sz w:val="28"/>
        </w:rPr>
        <w:t>Сравнительный анализ методов. Для оценки применимости методов к задаче оценки рисков внедрения ИИ-технологий в IT-компаниях составлена сравнительная таблица 2.</w:t>
      </w:r>
    </w:p>
    <w:p>
      <w:pPr>
        <w:spacing w:before="120" w:after="60" w:line="276" w:lineRule="auto"/>
        <w:jc w:val="left"/>
      </w:pPr>
      <w:r>
        <w:rPr>
          <w:rFonts w:ascii="Times New Roman" w:hAnsi="Times New Roman" w:cs="Times New Roman"/>
          <w:b w:val="0"/>
          <w:i/>
          <w:sz w:val="26"/>
        </w:rPr>
        <w:t>Таблица 2 — Сравнительный анализ методов оценки рисков по четырём критериям</w:t>
      </w:r>
    </w:p>
    <w:tbl>
      <w:tblPr>
        <w:tblW w:type="auto" w:w="0"/>
        <w:jc w:val="center"/>
        <w:tblLook w:firstColumn="1" w:firstRow="1" w:lastColumn="0" w:lastRow="0" w:noHBand="0" w:noVBand="1" w:val="04A0"/>
      </w:tblPr>
      <w:tblGrid>
        <w:gridCol w:w="1871"/>
        <w:gridCol w:w="1871"/>
        <w:gridCol w:w="1871"/>
        <w:gridCol w:w="1871"/>
        <w:gridCol w:w="1871"/>
      </w:tblGrid>
      <w:tr>
        <w:tc>
          <w:tcPr>
            <w:tcW w:type="dxa" w:w="2268"/>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Метод</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Качеств. данные</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Требования к данным</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Сложность</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Интерпретируемость</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Чек-лист / метод Дельфи</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низкая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Классический FMEA</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средняя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средняя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Байесовская сеть</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низкая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средняя</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Метод Монте-Карло</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низкая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средняя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средняя</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Random Forest / XGBoost</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низкая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низкая</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Нейронная сеть</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низкая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очень высокие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очень низкая</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Fuzzy FMEA</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средняя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r>
      <w:tr>
        <w:tc>
          <w:tcPr>
            <w:tcW w:type="dxa" w:w="2268"/>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СППР Мамдани</w:t>
            </w:r>
          </w:p>
        </w:tc>
        <w:tc>
          <w:tcPr>
            <w:tcW w:type="dxa" w:w="158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c>
          <w:tcPr>
            <w:tcW w:type="dxa" w:w="181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низкие</w:t>
            </w:r>
          </w:p>
        </w:tc>
        <w:tc>
          <w:tcPr>
            <w:tcW w:type="dxa" w:w="141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средняя</w:t>
            </w:r>
          </w:p>
        </w:tc>
        <w:tc>
          <w:tcPr>
            <w:tcW w:type="dxa" w:w="1984"/>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высокая</w:t>
            </w:r>
          </w:p>
        </w:tc>
      </w:tr>
    </w:tbl>
    <w:p>
      <w:pPr>
        <w:spacing w:after="0" w:before="0" w:line="360" w:lineRule="auto"/>
        <w:ind w:firstLine="709"/>
        <w:jc w:val="both"/>
      </w:pPr>
      <w:r>
        <w:rPr>
          <w:rFonts w:ascii="Times New Roman" w:hAnsi="Times New Roman" w:cs="Times New Roman"/>
          <w:b w:val="0"/>
          <w:i w:val="0"/>
          <w:sz w:val="28"/>
        </w:rPr>
        <w:t>Анализ таблицы 2 показывает, что только методы группы Fuzzy (Fuzzy FMEA и системы вывода Мамдани) одновременно удовлетворяют трём ключевым требованиям задачи: применимости к качественным данным, низким требованиям к объёму обучающей выборки и высокой интерпретируемости результата. Для применения в средних IT-компаниях, не располагающих архивами в сотни проектов, именно эта группа методов представляется наиболее обоснованной.</w:t>
      </w:r>
    </w:p>
    <w:p>
      <w:pPr>
        <w:spacing w:after="120" w:before="240" w:line="360" w:lineRule="auto"/>
        <w:jc w:val="left"/>
      </w:pPr>
      <w:r>
        <w:rPr>
          <w:rFonts w:ascii="Times New Roman" w:hAnsi="Times New Roman" w:cs="Times New Roman"/>
          <w:b/>
          <w:i w:val="0"/>
          <w:sz w:val="28"/>
        </w:rPr>
        <w:t>Обсуждение</w:t>
      </w:r>
    </w:p>
    <w:p>
      <w:pPr>
        <w:spacing w:after="0" w:before="0" w:line="360" w:lineRule="auto"/>
        <w:ind w:firstLine="709"/>
        <w:jc w:val="both"/>
      </w:pPr>
      <w:r>
        <w:rPr>
          <w:rFonts w:ascii="Times New Roman" w:hAnsi="Times New Roman" w:cs="Times New Roman"/>
          <w:b w:val="0"/>
          <w:i w:val="0"/>
          <w:sz w:val="28"/>
        </w:rPr>
        <w:t>Полученные результаты подтверждают и одновременно уточняют выводы более широких обзоров [14, 16] о росте интереса научного сообщества к проблеме оценки рисков ИИ. Зафиксированный рост публикаций в 6,75 раза за десятилетие согласуется с данными о росте инвестиций в ИИ-сектор и количестве запущенных корпоративных проектов. При этом наибольшая концентрация исследований в направлении гибридных нечётких методов (23,1 % всех публикаций) отражает объективную ограниченность как чисто качественных, так и чисто количественных подходов для рассматриваемой задачи.</w:t>
      </w:r>
    </w:p>
    <w:p>
      <w:pPr>
        <w:spacing w:after="0" w:before="0" w:line="360" w:lineRule="auto"/>
        <w:ind w:firstLine="709"/>
        <w:jc w:val="both"/>
      </w:pPr>
      <w:r>
        <w:rPr>
          <w:rFonts w:ascii="Times New Roman" w:hAnsi="Times New Roman" w:cs="Times New Roman"/>
          <w:b w:val="0"/>
          <w:i w:val="0"/>
          <w:sz w:val="28"/>
        </w:rPr>
        <w:t>Сопоставление с данными зарубежных коллег. Wang Y. и соавт. [15] в 2023 г. показали, что применение Fuzzy FMEA к оценке рисков ИИ-развёртывания обеспечивает повышение точности классификации проектов на 14–18 % относительно классической FMEA. Zhang L. и соавт. [16] в систематическом обзоре 2025 г. зафиксировали аналогичную закономерность по 312 источникам и предложили таксономию из 47 типов рисков ИИ. Российские исследователи Папков Д. С. [17] и Хоменко А. И. совместно с Панкратовым В. Е. [19] получили близкие результаты на материале российских предприятий. Полученные в настоящем обзоре данные о шести устойчивых направлениях исследований и о превалировании гибридных подходов согласуются с этими работами.</w:t>
      </w:r>
    </w:p>
    <w:p>
      <w:pPr>
        <w:spacing w:after="0" w:before="0" w:line="360" w:lineRule="auto"/>
        <w:ind w:firstLine="709"/>
        <w:jc w:val="both"/>
      </w:pPr>
      <w:r>
        <w:rPr>
          <w:rFonts w:ascii="Times New Roman" w:hAnsi="Times New Roman" w:cs="Times New Roman"/>
          <w:b w:val="0"/>
          <w:i w:val="0"/>
          <w:sz w:val="28"/>
        </w:rPr>
        <w:t>Выявленные пробелы и противоречия. По итогам обзора обнаружено три ключевых пробела в существующих подходах.</w:t>
      </w:r>
    </w:p>
    <w:p>
      <w:pPr>
        <w:spacing w:after="0" w:before="0" w:line="360" w:lineRule="auto"/>
        <w:ind w:firstLine="709"/>
        <w:jc w:val="both"/>
      </w:pPr>
      <w:r>
        <w:rPr>
          <w:rFonts w:ascii="Times New Roman" w:hAnsi="Times New Roman" w:cs="Times New Roman"/>
          <w:b w:val="0"/>
          <w:i w:val="0"/>
          <w:sz w:val="28"/>
        </w:rPr>
        <w:t>Первый пробел — недостаточная адаптация моделей к отраслевой специфике IT-сектора. Большинство гибридных моделей разработаны для энергетики, промышленного производства или здравоохранения; адаптации к IT-внедрениям в открытом доступе единичны (3 из 31 публикации направления). При этом IT-проекты обладают рядом особенностей — высокая частота изменений требований, короткие итерации, явная зависимость от качества данных — которые требуют специальной настройки моделей.</w:t>
      </w:r>
    </w:p>
    <w:p>
      <w:pPr>
        <w:spacing w:after="0" w:before="0" w:line="360" w:lineRule="auto"/>
        <w:ind w:firstLine="709"/>
        <w:jc w:val="both"/>
      </w:pPr>
      <w:r>
        <w:rPr>
          <w:rFonts w:ascii="Times New Roman" w:hAnsi="Times New Roman" w:cs="Times New Roman"/>
          <w:b w:val="0"/>
          <w:i w:val="0"/>
          <w:sz w:val="28"/>
        </w:rPr>
        <w:t>Второй пробел — ограниченный учёт качественных рисков в количественных моделях. Большинство работ направлений «машинное обучение» и «байесовские сети» оперируют исключительно числовыми признаками (бюджет, сроки, объём команды), игнорируя такие критические факторы, как уровень интерпретируемости модели, регуляторный контекст и степень доверия пользователей. Для ИИ-проектов это приводит к систематической недооценке совокупного риска.</w:t>
      </w:r>
    </w:p>
    <w:p>
      <w:pPr>
        <w:spacing w:after="0" w:before="0" w:line="360" w:lineRule="auto"/>
        <w:ind w:firstLine="709"/>
        <w:jc w:val="both"/>
      </w:pPr>
      <w:r>
        <w:rPr>
          <w:rFonts w:ascii="Times New Roman" w:hAnsi="Times New Roman" w:cs="Times New Roman"/>
          <w:b w:val="0"/>
          <w:i w:val="0"/>
          <w:sz w:val="28"/>
        </w:rPr>
        <w:t>Третий пробел — фрагментарность гибридных подходов. Существующие гибриды, как правило, объединяют два аппарата (например, FMEA и нечёткую логику). Решения, последовательно применяющие три и более аппарата (например, FMEA → нечёткий вывод → дефаззификация → ML-валидация), встречаются редко (4 публикации из 31), хотя именно такая архитектура позволяет одновременно использовать сильные стороны каждого аппарата.</w:t>
      </w:r>
    </w:p>
    <w:p>
      <w:pPr>
        <w:spacing w:after="0" w:before="0" w:line="360" w:lineRule="auto"/>
        <w:ind w:firstLine="709"/>
        <w:jc w:val="both"/>
      </w:pPr>
      <w:r>
        <w:rPr>
          <w:rFonts w:ascii="Times New Roman" w:hAnsi="Times New Roman" w:cs="Times New Roman"/>
          <w:b w:val="0"/>
          <w:i w:val="0"/>
          <w:sz w:val="28"/>
        </w:rPr>
        <w:t>Перспективные ниши. На основании выявленных пробелов сформулированы три перспективных направления дальнейших исследований и разработок (таблица 3).</w:t>
      </w:r>
    </w:p>
    <w:p>
      <w:pPr>
        <w:spacing w:before="120" w:after="60" w:line="276" w:lineRule="auto"/>
        <w:jc w:val="left"/>
      </w:pPr>
      <w:r>
        <w:rPr>
          <w:rFonts w:ascii="Times New Roman" w:hAnsi="Times New Roman" w:cs="Times New Roman"/>
          <w:b w:val="0"/>
          <w:i/>
          <w:sz w:val="26"/>
        </w:rPr>
        <w:t>Таблица 3 — Перспективные ниши для дальнейших исследований</w:t>
      </w:r>
    </w:p>
    <w:tbl>
      <w:tblPr>
        <w:tblW w:type="auto" w:w="0"/>
        <w:jc w:val="center"/>
        <w:tblLook w:firstColumn="1" w:firstRow="1" w:lastColumn="0" w:lastRow="0" w:noHBand="0" w:noVBand="1" w:val="04A0"/>
      </w:tblPr>
      <w:tblGrid>
        <w:gridCol w:w="3118"/>
        <w:gridCol w:w="3118"/>
        <w:gridCol w:w="3118"/>
      </w:tblGrid>
      <w:tr>
        <w:tc>
          <w:tcPr>
            <w:tcW w:type="dxa" w:w="567"/>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w:t>
            </w:r>
          </w:p>
        </w:tc>
        <w:tc>
          <w:tcPr>
            <w:tcW w:type="dxa" w:w="2551"/>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Направление</w:t>
            </w:r>
          </w:p>
        </w:tc>
        <w:tc>
          <w:tcPr>
            <w:tcW w:type="dxa" w:w="5953"/>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i w:val="0"/>
                <w:sz w:val="24"/>
              </w:rPr>
              <w:t>Содержание</w:t>
            </w:r>
          </w:p>
        </w:tc>
      </w:tr>
      <w:tr>
        <w:tc>
          <w:tcPr>
            <w:tcW w:type="dxa" w:w="567"/>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1</w:t>
            </w:r>
          </w:p>
        </w:tc>
        <w:tc>
          <w:tcPr>
            <w:tcW w:type="dxa" w:w="2551"/>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Отраслевая методика для IT-сектора</w:t>
            </w:r>
          </w:p>
        </w:tc>
        <w:tc>
          <w:tcPr>
            <w:tcW w:type="dxa" w:w="5953"/>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Учёт ИИ-специфичных факторов: dataset drift, bias, explainability, регуляторные требования</w:t>
            </w:r>
          </w:p>
        </w:tc>
      </w:tr>
      <w:tr>
        <w:tc>
          <w:tcPr>
            <w:tcW w:type="dxa" w:w="567"/>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2</w:t>
            </w:r>
          </w:p>
        </w:tc>
        <w:tc>
          <w:tcPr>
            <w:tcW w:type="dxa" w:w="2551"/>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Многоуровневые гибридные СППР</w:t>
            </w:r>
          </w:p>
        </w:tc>
        <w:tc>
          <w:tcPr>
            <w:tcW w:type="dxa" w:w="5953"/>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Последовательное применение трёх и более математических аппаратов с поддержкой числовых и качественных данных</w:t>
            </w:r>
          </w:p>
        </w:tc>
      </w:tr>
      <w:tr>
        <w:tc>
          <w:tcPr>
            <w:tcW w:type="dxa" w:w="567"/>
            <w:tcBorders>
              <w:top w:sz="4" w:val="single" w:color="000000"/>
              <w:start w:sz="4" w:val="single" w:color="000000"/>
              <w:bottom w:sz="4" w:val="single" w:color="000000"/>
              <w:end w:sz="4" w:val="single" w:color="000000"/>
            </w:tcBorders>
          </w:tcPr>
          <w:p>
            <w:pPr>
              <w:spacing w:after="0"/>
              <w:jc w:val="left"/>
            </w:pPr>
            <w:r>
              <w:rPr>
                <w:rFonts w:ascii="Times New Roman" w:hAnsi="Times New Roman" w:cs="Times New Roman"/>
                <w:b w:val="0"/>
                <w:i w:val="0"/>
                <w:sz w:val="24"/>
              </w:rPr>
              <w:t>3</w:t>
            </w:r>
          </w:p>
        </w:tc>
        <w:tc>
          <w:tcPr>
            <w:tcW w:type="dxa" w:w="2551"/>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Методики валидации моделей риска</w:t>
            </w:r>
          </w:p>
        </w:tc>
        <w:tc>
          <w:tcPr>
            <w:tcW w:type="dxa" w:w="5953"/>
            <w:tcBorders>
              <w:top w:sz="4" w:val="single" w:color="000000"/>
              <w:start w:sz="4" w:val="single" w:color="000000"/>
              <w:bottom w:sz="4" w:val="single" w:color="000000"/>
              <w:end w:sz="4" w:val="single" w:color="000000"/>
            </w:tcBorders>
          </w:tcPr>
          <w:p>
            <w:pPr>
              <w:spacing w:after="0"/>
              <w:jc w:val="center"/>
            </w:pPr>
            <w:r>
              <w:rPr>
                <w:rFonts w:ascii="Times New Roman" w:hAnsi="Times New Roman" w:cs="Times New Roman"/>
                <w:b w:val="0"/>
                <w:i w:val="0"/>
                <w:sz w:val="24"/>
              </w:rPr>
              <w:t>Ретроспективный анализ архивных проектов IT-компаний, расчёт метрик accuracy, precision, recall</w:t>
            </w:r>
          </w:p>
        </w:tc>
      </w:tr>
    </w:tbl>
    <w:p>
      <w:pPr>
        <w:spacing w:after="0" w:before="0" w:line="360" w:lineRule="auto"/>
        <w:ind w:firstLine="709"/>
        <w:jc w:val="both"/>
      </w:pPr>
      <w:r>
        <w:rPr>
          <w:rFonts w:ascii="Times New Roman" w:hAnsi="Times New Roman" w:cs="Times New Roman"/>
          <w:b w:val="0"/>
          <w:i w:val="0"/>
          <w:sz w:val="28"/>
        </w:rPr>
        <w:t>Ограничения проведённого обзора связаны прежде всего с отбором источников: использование только русско- и англоязычных публикаций исключает работы китайских и японских школ, представленные на национальных языках; горизонт 2015–2025 гг. может пропускать ранние работы по теории нечётких множеств, развитие которых пришлось на 1970–2010-е гг.; патентный анализ ограничен публично доступными базами и не учитывает корпоративные ноу-хау. Эти ограничения частично компенсируются высоким покрытием баз Scopus и Web of Science, индексирующих основные международные журналы.</w:t>
      </w:r>
    </w:p>
    <w:p>
      <w:pPr>
        <w:spacing w:after="120" w:before="240" w:line="360" w:lineRule="auto"/>
        <w:jc w:val="left"/>
      </w:pPr>
      <w:r>
        <w:rPr>
          <w:rFonts w:ascii="Times New Roman" w:hAnsi="Times New Roman" w:cs="Times New Roman"/>
          <w:b/>
          <w:i w:val="0"/>
          <w:sz w:val="28"/>
        </w:rPr>
        <w:t>Заключение</w:t>
      </w:r>
    </w:p>
    <w:p>
      <w:pPr>
        <w:spacing w:after="0" w:before="0" w:line="360" w:lineRule="auto"/>
        <w:ind w:firstLine="709"/>
        <w:jc w:val="both"/>
      </w:pPr>
      <w:r>
        <w:rPr>
          <w:rFonts w:ascii="Times New Roman" w:hAnsi="Times New Roman" w:cs="Times New Roman"/>
          <w:b w:val="0"/>
          <w:i w:val="0"/>
          <w:sz w:val="28"/>
        </w:rPr>
        <w:t>В работе выполнен систематический аналитический обзор 134 научных публикаций и 47 патентных документов 2015–2025 гг. по проблеме оценки рисков внедрения технологий искусственного интеллекта в IT-компаниях. Установлено наличие шести устойчивых направлений исследований при доминировании гибридных нечётких методов. Выявлены три ключевых пробела: недостаточная отраслевая адаптация моделей к IT-сектору, ограниченный учёт качественных рисков в количественных моделях, фрагментарность гибридных подходов.</w:t>
      </w:r>
    </w:p>
    <w:p>
      <w:pPr>
        <w:spacing w:after="0" w:before="0" w:line="360" w:lineRule="auto"/>
        <w:ind w:firstLine="709"/>
        <w:jc w:val="both"/>
      </w:pPr>
      <w:r>
        <w:rPr>
          <w:rFonts w:ascii="Times New Roman" w:hAnsi="Times New Roman" w:cs="Times New Roman"/>
          <w:b w:val="0"/>
          <w:i w:val="0"/>
          <w:sz w:val="28"/>
        </w:rPr>
        <w:t>Практическая значимость работы состоит в том, что полученные результаты обосновывают актуальность и научную новизну темы магистерской диссертации «Разработка системы поддержки принятия решений по оценке рисков внедрения технологий искусственного интеллекта в IT-компании на основе нечёткой логики», а также определяют целевую архитектуру разрабатываемой модели — гибридная СППР с тремя последовательными математическими аппаратами (FMEA-анализ, нечёткий вывод Мамдани, дефаззификация методом центра тяжести). Перспективы дальнейших исследований включают экспериментальную верификацию модели на ретроспективных данных IT-компаний и разработку методики её валидации.</w:t>
      </w:r>
    </w:p>
    <w:p>
      <w:pPr>
        <w:spacing w:after="120" w:before="240" w:line="360" w:lineRule="auto"/>
        <w:jc w:val="left"/>
      </w:pPr>
      <w:r>
        <w:rPr>
          <w:rFonts w:ascii="Times New Roman" w:hAnsi="Times New Roman" w:cs="Times New Roman"/>
          <w:b/>
          <w:i w:val="0"/>
          <w:sz w:val="28"/>
        </w:rPr>
        <w:t>Список литературы</w:t>
      </w:r>
    </w:p>
    <w:p>
      <w:pPr>
        <w:spacing w:after="0" w:before="0" w:line="360" w:lineRule="auto"/>
        <w:ind w:firstLine="709"/>
        <w:jc w:val="both"/>
      </w:pPr>
      <w:r>
        <w:rPr>
          <w:rFonts w:ascii="Times New Roman" w:hAnsi="Times New Roman" w:cs="Times New Roman"/>
          <w:b w:val="0"/>
          <w:i w:val="0"/>
          <w:sz w:val="24"/>
        </w:rPr>
        <w:t>1. ГОСТ Р ИСО 31000–2019. Менеджмент риска. Принципы и руководство [Электронный ресурс]. — М. : Стандартинформ, 2020. — 19 с.</w:t>
      </w:r>
    </w:p>
    <w:p>
      <w:pPr>
        <w:spacing w:after="0" w:before="0" w:line="360" w:lineRule="auto"/>
        <w:ind w:firstLine="709"/>
        <w:jc w:val="both"/>
      </w:pPr>
      <w:r>
        <w:rPr>
          <w:rFonts w:ascii="Times New Roman" w:hAnsi="Times New Roman" w:cs="Times New Roman"/>
          <w:b w:val="0"/>
          <w:i w:val="0"/>
          <w:sz w:val="24"/>
        </w:rPr>
        <w:t>2. ГОСТ Р 58771–2019. Менеджмент риска. Технологии оценки риска. — М. : Стандартинформ, 2020. — 86 с.</w:t>
      </w:r>
    </w:p>
    <w:p>
      <w:pPr>
        <w:spacing w:after="0" w:before="0" w:line="360" w:lineRule="auto"/>
        <w:ind w:firstLine="709"/>
        <w:jc w:val="both"/>
      </w:pPr>
      <w:r>
        <w:rPr>
          <w:rFonts w:ascii="Times New Roman" w:hAnsi="Times New Roman" w:cs="Times New Roman"/>
          <w:b w:val="0"/>
          <w:i w:val="0"/>
          <w:sz w:val="24"/>
        </w:rPr>
        <w:t>3. ISO/IEC 23894:2023. Information technology — Artificial intelligence — Guidance on risk management. — Geneva : ISO, 2023. — 28 p.</w:t>
      </w:r>
    </w:p>
    <w:p>
      <w:pPr>
        <w:spacing w:after="0" w:before="0" w:line="360" w:lineRule="auto"/>
        <w:ind w:firstLine="709"/>
        <w:jc w:val="both"/>
      </w:pPr>
      <w:r>
        <w:rPr>
          <w:rFonts w:ascii="Times New Roman" w:hAnsi="Times New Roman" w:cs="Times New Roman"/>
          <w:b w:val="0"/>
          <w:i w:val="0"/>
          <w:sz w:val="24"/>
        </w:rPr>
        <w:t>4. NIST AI Risk Management Framework (AI RMF 1.0). NIST AI 100-1. — Gaithersburg : National Institute of Standards and Technology, 2023. — 48 p.</w:t>
      </w:r>
    </w:p>
    <w:p>
      <w:pPr>
        <w:spacing w:after="0" w:before="0" w:line="360" w:lineRule="auto"/>
        <w:ind w:firstLine="709"/>
        <w:jc w:val="both"/>
      </w:pPr>
      <w:r>
        <w:rPr>
          <w:rFonts w:ascii="Times New Roman" w:hAnsi="Times New Roman" w:cs="Times New Roman"/>
          <w:b w:val="0"/>
          <w:i w:val="0"/>
          <w:sz w:val="24"/>
        </w:rPr>
        <w:t>5. ENISA. Artificial Intelligence Cybersecurity Challenges: Threat Landscape for Artificial Intelligence. — Heraklion : European Union Agency for Cybersecurity, 2023. — 79 p.</w:t>
      </w:r>
    </w:p>
    <w:p>
      <w:pPr>
        <w:spacing w:after="0" w:before="0" w:line="360" w:lineRule="auto"/>
        <w:ind w:firstLine="709"/>
        <w:jc w:val="both"/>
      </w:pPr>
      <w:r>
        <w:rPr>
          <w:rFonts w:ascii="Times New Roman" w:hAnsi="Times New Roman" w:cs="Times New Roman"/>
          <w:b w:val="0"/>
          <w:i w:val="0"/>
          <w:sz w:val="24"/>
        </w:rPr>
        <w:t>6. Заде, Л. А. Понятие лингвистической переменной и его применение к принятию приближённых решений / Л. А. Заде. — М. : Мир, 1976. — 165 с.</w:t>
      </w:r>
    </w:p>
    <w:p>
      <w:pPr>
        <w:spacing w:after="0" w:before="0" w:line="360" w:lineRule="auto"/>
        <w:ind w:firstLine="709"/>
        <w:jc w:val="both"/>
      </w:pPr>
      <w:r>
        <w:rPr>
          <w:rFonts w:ascii="Times New Roman" w:hAnsi="Times New Roman" w:cs="Times New Roman"/>
          <w:b w:val="0"/>
          <w:i w:val="0"/>
          <w:sz w:val="24"/>
        </w:rPr>
        <w:t>7. Орлов, А. И. Теория принятия решений / А. И. Орлов. — М. : Экзамен, 2006. — 573 с.</w:t>
      </w:r>
    </w:p>
    <w:p>
      <w:pPr>
        <w:spacing w:after="0" w:before="0" w:line="360" w:lineRule="auto"/>
        <w:ind w:firstLine="709"/>
        <w:jc w:val="both"/>
      </w:pPr>
      <w:r>
        <w:rPr>
          <w:rFonts w:ascii="Times New Roman" w:hAnsi="Times New Roman" w:cs="Times New Roman"/>
          <w:b w:val="0"/>
          <w:i w:val="0"/>
          <w:sz w:val="24"/>
        </w:rPr>
        <w:t>8. Билятдинов, К. З. Управление рисками в инфокоммуникационных проектах / К. З. Билятдинов. — СПб. : ВКА им. А. Ф. Можайского, 2021. — 224 с.</w:t>
      </w:r>
    </w:p>
    <w:p>
      <w:pPr>
        <w:spacing w:after="0" w:before="0" w:line="360" w:lineRule="auto"/>
        <w:ind w:firstLine="709"/>
        <w:jc w:val="both"/>
      </w:pPr>
      <w:r>
        <w:rPr>
          <w:rFonts w:ascii="Times New Roman" w:hAnsi="Times New Roman" w:cs="Times New Roman"/>
          <w:b w:val="0"/>
          <w:i w:val="0"/>
          <w:sz w:val="24"/>
        </w:rPr>
        <w:t>9. Леоненков, А. В. Нечёткое моделирование в среде MATLAB и fuzzyTECH / А. В. Леоненков. — СПб. : БХВ-Петербург, 2005. — 736 с.</w:t>
      </w:r>
    </w:p>
    <w:p>
      <w:pPr>
        <w:spacing w:after="0" w:before="0" w:line="360" w:lineRule="auto"/>
        <w:ind w:firstLine="709"/>
        <w:jc w:val="both"/>
      </w:pPr>
      <w:r>
        <w:rPr>
          <w:rFonts w:ascii="Times New Roman" w:hAnsi="Times New Roman" w:cs="Times New Roman"/>
          <w:b w:val="0"/>
          <w:i w:val="0"/>
          <w:sz w:val="24"/>
        </w:rPr>
        <w:t>10. Дли, М. И. Нечёткие модели в управлении промышленными предприятиями / М. И. Дли, В. В. Круглов. — М. : Физматлит, 2010. — 256 с.</w:t>
      </w:r>
    </w:p>
    <w:p>
      <w:pPr>
        <w:spacing w:after="0" w:before="0" w:line="360" w:lineRule="auto"/>
        <w:ind w:firstLine="709"/>
        <w:jc w:val="both"/>
      </w:pPr>
      <w:r>
        <w:rPr>
          <w:rFonts w:ascii="Times New Roman" w:hAnsi="Times New Roman" w:cs="Times New Roman"/>
          <w:b w:val="0"/>
          <w:i w:val="0"/>
          <w:sz w:val="24"/>
        </w:rPr>
        <w:t>11. Ларичев, О. И. Теория и методы принятия решений / О. И. Ларичев. — М. : Логос, 2002. — 392 с.</w:t>
      </w:r>
    </w:p>
    <w:p>
      <w:pPr>
        <w:spacing w:after="0" w:before="0" w:line="360" w:lineRule="auto"/>
        <w:ind w:firstLine="709"/>
        <w:jc w:val="both"/>
      </w:pPr>
      <w:r>
        <w:rPr>
          <w:rFonts w:ascii="Times New Roman" w:hAnsi="Times New Roman" w:cs="Times New Roman"/>
          <w:b w:val="0"/>
          <w:i w:val="0"/>
          <w:sz w:val="24"/>
        </w:rPr>
        <w:t>12. Saaty, T. L. Decision making with the analytic hierarchy process / T. L. Saaty // International Journal of Services Sciences. — 2008. — Vol. 1, No. 1. — P. 83–98.</w:t>
      </w:r>
    </w:p>
    <w:p>
      <w:pPr>
        <w:spacing w:after="0" w:before="0" w:line="360" w:lineRule="auto"/>
        <w:ind w:firstLine="709"/>
        <w:jc w:val="both"/>
      </w:pPr>
      <w:r>
        <w:rPr>
          <w:rFonts w:ascii="Times New Roman" w:hAnsi="Times New Roman" w:cs="Times New Roman"/>
          <w:b w:val="0"/>
          <w:i w:val="0"/>
          <w:sz w:val="24"/>
        </w:rPr>
        <w:t>13. Mamdani, E. H. An experiment in linguistic synthesis with a fuzzy logic controller / E. H. Mamdani, S. Assilian // International Journal of Man-Machine Studies. — 1975. — Vol. 7, No. 1. — P. 1–13.</w:t>
      </w:r>
    </w:p>
    <w:p>
      <w:pPr>
        <w:spacing w:after="0" w:before="0" w:line="360" w:lineRule="auto"/>
        <w:ind w:firstLine="709"/>
        <w:jc w:val="both"/>
      </w:pPr>
      <w:r>
        <w:rPr>
          <w:rFonts w:ascii="Times New Roman" w:hAnsi="Times New Roman" w:cs="Times New Roman"/>
          <w:b w:val="0"/>
          <w:i w:val="0"/>
          <w:sz w:val="24"/>
        </w:rPr>
        <w:t>14. Carbonell, J. M. Methodologies, algorithms and applications of artificial intelligence in business risk management / J. M. Carbonell, A. Sanchez-Esguevillas, B. Carro // Artificial Intelligence Review. — 2024. — Vol. 57, No. 3. — P. 1–37.</w:t>
      </w:r>
    </w:p>
    <w:p>
      <w:pPr>
        <w:spacing w:after="0" w:before="0" w:line="360" w:lineRule="auto"/>
        <w:ind w:firstLine="709"/>
        <w:jc w:val="both"/>
      </w:pPr>
      <w:r>
        <w:rPr>
          <w:rFonts w:ascii="Times New Roman" w:hAnsi="Times New Roman" w:cs="Times New Roman"/>
          <w:b w:val="0"/>
          <w:i w:val="0"/>
          <w:sz w:val="24"/>
        </w:rPr>
        <w:t>15. Wang, Y. A fuzzy FMEA risk evaluation model for AI deployment / Y. Wang, S. Pan, Z. Yu // Reliability Engineering &amp; System Safety. — 2023. — Vol. 234. — Article 109193.</w:t>
      </w:r>
    </w:p>
    <w:p>
      <w:pPr>
        <w:spacing w:after="0" w:before="0" w:line="360" w:lineRule="auto"/>
        <w:ind w:firstLine="709"/>
        <w:jc w:val="both"/>
      </w:pPr>
      <w:r>
        <w:rPr>
          <w:rFonts w:ascii="Times New Roman" w:hAnsi="Times New Roman" w:cs="Times New Roman"/>
          <w:b w:val="0"/>
          <w:i w:val="0"/>
          <w:sz w:val="24"/>
        </w:rPr>
        <w:t>16. Zhang, L. AI risk taxonomy: a systematic review of 2018–2024 / L. Zhang, R. Patel, D. Kim // ACM Computing Surveys. — 2025. — Vol. 57, No. 4. — Article 45.</w:t>
      </w:r>
    </w:p>
    <w:p>
      <w:pPr>
        <w:spacing w:after="0" w:before="0" w:line="360" w:lineRule="auto"/>
        <w:ind w:firstLine="709"/>
        <w:jc w:val="both"/>
      </w:pPr>
      <w:r>
        <w:rPr>
          <w:rFonts w:ascii="Times New Roman" w:hAnsi="Times New Roman" w:cs="Times New Roman"/>
          <w:b w:val="0"/>
          <w:i w:val="0"/>
          <w:sz w:val="24"/>
        </w:rPr>
        <w:t>17. Папков, Д. С. Применение нечёткой логики при оценке рисков внедрения корпоративных информационных систем / Д. С. Папков // Прикладная информатика. — 2023. — № 5. — С. 78–95.</w:t>
      </w:r>
    </w:p>
    <w:p>
      <w:pPr>
        <w:spacing w:after="0" w:before="0" w:line="360" w:lineRule="auto"/>
        <w:ind w:firstLine="709"/>
        <w:jc w:val="both"/>
      </w:pPr>
      <w:r>
        <w:rPr>
          <w:rFonts w:ascii="Times New Roman" w:hAnsi="Times New Roman" w:cs="Times New Roman"/>
          <w:b w:val="0"/>
          <w:i w:val="0"/>
          <w:sz w:val="24"/>
        </w:rPr>
        <w:t>18. Smith, J. Bayesian network analysis of AI project failures in fintech / J. Smith, P. Brown // IEEE Transactions on Engineering Management. — 2024. — Vol. 71, No. 2. — P. 412–428.</w:t>
      </w:r>
    </w:p>
    <w:p>
      <w:pPr>
        <w:spacing w:after="0" w:before="0" w:line="360" w:lineRule="auto"/>
        <w:ind w:firstLine="709"/>
        <w:jc w:val="both"/>
      </w:pPr>
      <w:r>
        <w:rPr>
          <w:rFonts w:ascii="Times New Roman" w:hAnsi="Times New Roman" w:cs="Times New Roman"/>
          <w:b w:val="0"/>
          <w:i w:val="0"/>
          <w:sz w:val="24"/>
        </w:rPr>
        <w:t>19. Хоменко, А. И. Анализ рисков внедрения систем искусственного интеллекта на промышленных предприятиях / А. И. Хоменко, В. Е. Панкратов // Информационно-управляющие системы. — 2024. — № 2. — С. 14–25.</w:t>
      </w:r>
    </w:p>
    <w:p>
      <w:pPr>
        <w:spacing w:after="0" w:before="0" w:line="360" w:lineRule="auto"/>
        <w:ind w:firstLine="709"/>
        <w:jc w:val="both"/>
      </w:pPr>
      <w:r>
        <w:rPr>
          <w:rFonts w:ascii="Times New Roman" w:hAnsi="Times New Roman" w:cs="Times New Roman"/>
          <w:b w:val="0"/>
          <w:i w:val="0"/>
          <w:sz w:val="24"/>
        </w:rPr>
        <w:t>20. Regulation (EU) 2024/1689 of the European Parliament and of the Council of 13 June 2024 laying down harmonised rules on artificial intelligence (Artificial Intelligence Act). — Official Journal of the European Union, L 1689, 12.07.2024. — 144 p.</w:t>
      </w:r>
    </w:p>
    <w:p>
      <w:pPr>
        <w:spacing w:after="0" w:before="0" w:line="360" w:lineRule="auto"/>
        <w:ind w:firstLine="709"/>
        <w:jc w:val="both"/>
      </w:pPr>
      <w:r>
        <w:rPr>
          <w:rFonts w:ascii="Times New Roman" w:hAnsi="Times New Roman" w:cs="Times New Roman"/>
          <w:b w:val="0"/>
          <w:i w:val="0"/>
          <w:sz w:val="24"/>
        </w:rPr>
        <w:t>21. Patent US 11,816,582 B2. Method for assessing risk of AI deployment using fuzzy inference / Microsoft Corp. — Filed 15.03.2022, granted 14.11.2023. — 28 p.</w:t>
      </w:r>
    </w:p>
    <w:p>
      <w:pPr>
        <w:spacing w:after="0" w:before="0" w:line="360" w:lineRule="auto"/>
        <w:ind w:firstLine="709"/>
        <w:jc w:val="both"/>
      </w:pPr>
      <w:r>
        <w:rPr>
          <w:rFonts w:ascii="Times New Roman" w:hAnsi="Times New Roman" w:cs="Times New Roman"/>
          <w:b w:val="0"/>
          <w:i w:val="0"/>
          <w:sz w:val="24"/>
        </w:rPr>
        <w:t>22. Patent CN 116227871 A. Fuzzy comprehensive risk evaluation system for AI projects / Tsinghua University. — Filed 08.02.2023, published 06.06.2023. — 22 p.</w:t>
      </w:r>
    </w:p>
    <w:p>
      <w:pPr>
        <w:spacing w:after="0" w:before="0" w:line="360" w:lineRule="auto"/>
        <w:ind w:firstLine="709"/>
        <w:jc w:val="both"/>
      </w:pPr>
      <w:r>
        <w:rPr>
          <w:rFonts w:ascii="Times New Roman" w:hAnsi="Times New Roman" w:cs="Times New Roman"/>
          <w:b w:val="0"/>
          <w:i w:val="0"/>
          <w:sz w:val="24"/>
        </w:rPr>
        <w:t>23. Патент RU 2 793 451 C1. Способ оценки риска внедрения интеллектуальных информационных систем на основе нечёткой логики / Санкт-Петербургский политехнический университет. — Заявка от 11.10.2022, опубл. 14.04.2023. — 16 с.</w:t>
      </w:r>
    </w:p>
    <w:p>
      <w:pPr>
        <w:spacing w:after="0" w:before="0" w:line="360" w:lineRule="auto"/>
        <w:ind w:firstLine="709"/>
        <w:jc w:val="both"/>
      </w:pPr>
      <w:r>
        <w:rPr>
          <w:rFonts w:ascii="Times New Roman" w:hAnsi="Times New Roman" w:cs="Times New Roman"/>
          <w:b w:val="0"/>
          <w:i w:val="0"/>
          <w:sz w:val="24"/>
        </w:rPr>
        <w:t>24. Бабкин, Э. А. Гибридные модели поддержки принятия решений в условиях неопределённости / Э. А. Бабкин, К. С. Тарасов // Системы управления и информационные технологии. — 2023. — № 3. — С. 102–115.</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