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 ПРАКТИЧЕСКОЙ РАБОТЫ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ПРЕПОДАВАТЕЛЬ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Профессор, д.т.н., доц.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Н. А. Жильникова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звание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Определение необходимого математического аппарата для достижения цели и решения задач научного исследования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 дисциплине: Научно-исследовательская работа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РАБОТУ ВЫПОЛНИЛ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ГР. № М558М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 2026</w:t>
      </w:r>
    </w:p>
    <w:p>
      <w:r>
        <w:br w:type="page"/>
      </w:r>
    </w:p>
    <w:p>
      <w:pPr>
        <w:keepNext/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Введение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Тема ВКРМ — «Разработка системы поддержки принятия решений по оценке рисков внедрения технологий искусственного интеллекта в IT-компании на основе нечёткой логики». Искусственный интеллект закреплён в числе национальных технологических приоритетов (Национальная стратегия развития ИИ, национальный проект «Экономика данных и цифровая трансформация государства»), однако значительная доля ИИ-проектов не достигает целей: по прогнозу Gartner, не менее 30 % проектов генеративного ИИ прекращаются после пилотной стадии. Риски таких проектов имеют качественный характер и плохо оцениваются классическими методами, поэтому выбор математического аппарата, способного работать с неполной и нечёткой информацией, является ключевым для исследования.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 Паспорт научного исследования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1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Паспорт исследования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2438"/>
        <w:gridCol w:w="6917"/>
      </w:tblGrid>
      <w:tr>
        <w:tc>
          <w:tcPr>
            <w:tcW w:type="dxa" w:w="243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Элемент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Содержание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Тема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Разработка системы поддержки принятия решений по оценке рисков внедрения технологий искусственного интеллекта в IT-компании на основе нечёткой логики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Проблема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Противоречие между потребностью IT-компаний в обоснованной оценке рисков внедрения ИИ на ранних стадиях проектов, когда информация неполна и носит качественный характер, и отсутствием методов и инструментов, учитывающих специфику ИИ-рисков (галлюцинации и дрейф моделей, смещённость данных, состязательные атаки, регуляторные ограничения)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Объект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Процесс управления рисками внедрения технологий искусственного интеллекта в IT-компаниях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Предмет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Методы, модели и инструментальные средства оценки рисков внедрения технологий ИИ на основе аппарата нечёткой логики; связь факторов риска с интегральным уровнем риска и исходом ИИ-проекта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Цель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Повышение обоснованности управленческих решений о внедрении технологий ИИ в IT-компаниях за счёт разработки СППР по оценке рисков на основе нечёткой логики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Гипотеза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Если интегральную оценку риска ИИ-проекта выполнять с помощью гибридной модели «модифицированный FMEA + нечёткий вывод Мамдани», использующей качественные экспертные оценки специфических факторов ИИ-рисков, то точность классификации проектов по уровню риска на ретроспективных данных будет выше, чем у классического FMEA (по приоритетному числу риска), и составит не менее 0,8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Задачи исследования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1) проанализировать и систематизировать риски внедрения ИИ в IT-компаниях и методы их оценки, обосновать применимость нечёткой логики;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2) проанализировать практику внедрения ИИ и управления рисками в IT-компаниях, выявить ограничения применяемых методик и сформировать требования к СППР;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3) разработать гибридную модель оценки рисков и СППР на её основе, выполнить апробацию и оценить ожидаемый эффект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Гибридная нечёткая модель оценки рисков (лингвистические переменные, база продукционных правил), методика её калибровки и валидации, программная СППР, выдающая интегральный риск R∈[0; 100], категорию риска и рекомендацию</w:t>
            </w:r>
          </w:p>
        </w:tc>
      </w:tr>
    </w:tbl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 Декомпозиция объекта исследования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 исследования представлен как управляемая система «входные параметры → процесс → выходные параметры» (рисунок 1). Параметры системы с единицами измерения и источниками данных приведены в таблице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77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1 — Процесс управления рисками внедрения ИИ как управляемая система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2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Классификация параметров исследуемой системы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247"/>
        <w:gridCol w:w="737"/>
        <w:gridCol w:w="2948"/>
        <w:gridCol w:w="2211"/>
        <w:gridCol w:w="2211"/>
      </w:tblGrid>
      <w:tr>
        <w:tc>
          <w:tcPr>
            <w:tcW w:type="dxa" w:w="124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Группа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Обозн.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Единица измерения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Источник данных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Входные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параметры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Качество и зрелость данных (полнота, репрезентативность, разметка)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Баллы 0–10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 данных, отчёты data-команды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Технологическая новизна и сложность ИИ-решения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Уровень TRL 1–9, баллы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ТЗ, архитектурная документация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x₃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Компетентность команды проекта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Доля ML-специалистов (%), число выполненных ИИ-проектов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Данные HR, карты компетенций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x₄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Регуляторная и этическая чувствительность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Класс риска 1–4, наличие ПДн (да/нет)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Реестр ПДн, требования 152-ФЗ, EU AI Act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x₅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Угрозы информационной безопасности модели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Баллы 0–10, число уязвимостей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Отчёты ИБ, пентест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x₆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Организационная готовность (поддержка руководства, сопротивление персонала)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Баллы 0–10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Анкетирование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Управля-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ющие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параметры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Глубина и периодичность риск-анализа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Число переоценок за проект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Регламент проектного офиса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Бюджет мер по снижению рисков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Руб., % бюджета проекта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Смета проекта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u₃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Мониторинг модели (дрейф, качество) в эксплуатации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Частота проверок, раз/мес.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Регламент MLOps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u₄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Масштаб пилотного внедрения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Доля пользователей, %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План внедрения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u₅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Пороговые значения категорий риска в СППР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Баллы R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Настройки СППР, решение руководства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Выходные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параметры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y₁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Интегральный уровень риска ИИ-проекта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R, баллы 0–100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Расчёт СППР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y₂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Категория риска и рекомендация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Низкий / средний / высокий / критический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Расчёт СППР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y₃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Приоритетное число риска по отдельным рискам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RPN = S·O·D, 1–1000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Реестр рисков (FMEA)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y₄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Точность классификации проектов СППР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Accuracy, precision, recall (доли ед.)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Ретроспективные данные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y₅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Доля неуспешных ИИ-проектов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%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Портфель проектов компании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y₆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Ожидаемые потери и экономический эффект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E(L)=ΣPᵢSᵢ (руб.), NPV (руб.)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Финансовая модель</w:t>
            </w:r>
          </w:p>
        </w:tc>
      </w:tr>
      <w:tr>
        <w:tc>
          <w:tcPr>
            <w:tcW w:type="dxa" w:w="1247"/>
            <w:vMerge w:val="restart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Ограниче-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ния</w:t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Соответствие обязательным требованиям (152-ФЗ, ГОСТ Р 59276-2020)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Соответствует / нет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Нормативная база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Допустимый уровень риска для запуска проекта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 ≤ Rдоп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Риск-аппетит компании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g₃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Ограничение по бюджету мер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Z ≤ Zбюджет (руб.)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Бюджет проекта</w:t>
            </w:r>
          </w:p>
        </w:tc>
      </w:tr>
      <w:tr>
        <w:tc>
          <w:tcPr>
            <w:tcW w:type="dxa" w:w="1247"/>
            <w:vMerge/>
          </w:tcPr>
          <w:p/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g₄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Согласованность экспертных оценок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 ≥ 0,7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Расчёт коэффициента Кендалла</w:t>
            </w:r>
          </w:p>
        </w:tc>
      </w:tr>
    </w:tbl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 Формализованная постановка исследовательской задачи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 исследования формализована как задача построения модели интегральной оценки риска с максимальной точностью классификации проектов (таблица 3).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3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Формализация цели исследования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2438"/>
        <w:gridCol w:w="6917"/>
      </w:tblGrid>
      <w:tr>
        <w:tc>
          <w:tcPr>
            <w:tcW w:type="dxa" w:w="243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Элемент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Формализация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Результативный показатель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 — интегральный уровень риска ИИ-проекта, баллы [0; 100]; Acc — точность классификации проектов по уровню риска, доли ед.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Модель зависимости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 = F(x₁, …, x₆ | u₁, …, u₅), где F — нечёткий вывод Мамдани по базе правил вида «ЕСЛИ x₁ есть Aⱼ₁ И … И x₆ есть Aⱼ₆, ТО R есть Bⱼ»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Условные обозначения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x₁ — качество данных; x₂ — технологическая новизна; x₃ — компетентность команды; x₄ — регуляторная чувствительность; x₅ — угрозы ИБ; x₆ — организационная готовность; Aⱼᵢ, Bⱼ — термы лингвистических переменных; u — управляющие параметры (таблица 2)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Целевая функция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max Acc (модель); для управленческой задачи — min R(u) — выбор набора мер по снижению риска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Система ограничений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{ W ≥ 0,7; R ≤ Rдоп для запуска проекта; Z(u) ≤ Zбюджет; соблюдение обязательных требований g₁ }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69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Гибридная нечёткая модель и СППР, методика калибровки и валидации, рекомендации по снижению рисков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Интегральный риск рассчитывается дефаззификацией по центру тяжести: R = Σ yₖ·μB'(yₖ) / Σ μB'(yₖ), где μB'(yₖ) — степень принадлежности значения yₖ итоговому нечёткому множеству. Точность модели: Acc = (TP + TN) / N, где TP и TN — число верно классифицированных высокорисковых и низкорисковых проектов, N — общее число проектов выборки.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4 Математический аппарат исследования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4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Соответствие задач научного исследования и математического аппарата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2154"/>
        <w:gridCol w:w="2268"/>
        <w:gridCol w:w="2608"/>
        <w:gridCol w:w="2324"/>
      </w:tblGrid>
      <w:tr>
        <w:tc>
          <w:tcPr>
            <w:tcW w:type="dxa" w:w="21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Задача исследования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Вид исходных данных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Математический аппарат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Результат применения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Задача 1. Систематизировать риски ИИ-проектов и методы их оценки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Публикации (обзор PRISMA), экспертные оценки S, O, D по шкале 1–10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Экспертные методы с ранжированием, коэффициент конкордации Кендалла W; модифицированный FMEA: RPN = S·O·D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Классификация рисков, ранжированный реестр рисков, согласованные экспертные оценки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Задача 2. Проанализировать практику внедрения ИИ и выявить значимые факторы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Ретроспективные данные 30+ ИИ-проектов: значения x₁–x₆ и исход (успех / неуспех)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Описательная статистика, диаграмма Парето причин неуспеха, ранговая корреляция Спирмена rₛ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Перечень критических факторов риска, требования к СППР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Задача 3. Разработать модель и СППР, выполнить апробацию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Экспертные функции принадлежности, база правил, ретроспективные данные для проверки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Теория нечётких множеств, нечёткий вывод Мамдани (max-min), дефаззификация по центру тяжести; матрица ошибок; метод Монте-Карло; NPV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Интегральный риск R и категория по каждому проекту, метрики точности, устойчивость модели, экономический эффект</w:t>
            </w:r>
          </w:p>
        </w:tc>
      </w:tr>
    </w:tbl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5 Обоснование применимости математических методов</w:t>
      </w:r>
    </w:p>
    <w:p>
      <w:pPr>
        <w:spacing w:after="0" w:before="8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5.1 Экспертные оценки и коэффициент конкордации Кендалла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решает задачу 1: большинство рисков ИИ-проектов не имеет статистики, поэтому их вероятность, тяжесть и обнаруживаемость оцениваются экспертами (8–10 специалистов IT-компаний) по шкале 1–10. Входные данные — ранги и баллы экспертов, результат — согласованные оценки и коэффициент конкордации W = 12S / (m²(n³ − n)), где m — число экспертов, n — число рисков, S — сумма квадратов отклонений сумм рангов от среднего. Допущение — эксперты независимы и компетентны; ограничение — субъективность оценок. Достоверность проверяется условием W ≥ 0,7 и значимостью W по критерию χ² = m(n − 1)W.</w:t>
      </w:r>
    </w:p>
    <w:p>
      <w:pPr>
        <w:spacing w:after="0" w:before="8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5.2 Модифицированный FMEA-анализ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решает задачу 1 и формирует входы для задачи 3: для каждого риска определяются значимость S, вероятность O и обнаруживаемость D, а приоритетное число RPN = S·O·D ранжирует риски. Модификация заключается в расширении перечня видов отказов специфическими для ИИ (галлюцинации, дрейф, смещённость данных, состязательные атаки). Результат — реестр рисков с приоритетами и мерами. Ограничение классического FMEA — одинаковый вес S, O, D и разные сочетания с одинаковым RPN; именно его устраняет нечёткий вывод. Адекватность проверяется экспертной верификацией реестра и снижением RPN после мер.</w:t>
      </w:r>
    </w:p>
    <w:p>
      <w:pPr>
        <w:spacing w:after="0" w:before="8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5.3 Нечёткий логический вывод Мамдани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решает основную задачу 3 — интегральную оценку риска проекта по качественным факторам x₁–x₆. Для каждой переменной задаются термы («низкий», «средний», «высокий») с треугольными и трапециевидными функциями принадлежности, база правил формируется экспертами. Степень истинности правила αⱼ = min μAⱼᵢ(xᵢ), итоговое множество μB'(y) = maxⱼ min(αⱼ, μBⱼ(y)), результат — R = ∫y·μB'(y)dy / ∫μB'(y)dy (центр тяжести). Допущения — полнота и непротиворечивость базы правил; ограничение — рост числа правил с числом входов, поэтому факторы группируются иерархически. Проверка — по метрикам классификации и анализу чувствительности.</w:t>
      </w:r>
    </w:p>
    <w:p>
      <w:pPr>
        <w:spacing w:after="0" w:before="80" w:line="360" w:lineRule="auto"/>
        <w:ind w:firstLine="709"/>
        <w:jc w:val="left"/>
      </w:pPr>
      <w:r>
        <w:rPr>
          <w:rFonts w:ascii="Times New Roman" w:hAnsi="Times New Roman" w:cs="Times New Roman"/>
          <w:b/>
          <w:i/>
          <w:sz w:val="28"/>
        </w:rPr>
        <w:t>5.4 Метрики классификации и имитационное моделирование Монте-Карло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Методы решают задачу проверки модели в рамках задачи 3. На ретроспективных данных СППР относит каждый проект к категории риска, сравнение с фактическим исходом даёт матрицу ошибок и метрики Accuracy = (TP + TN) / N, Precision = TP / (TP + FP), Recall = TP / (TP + FN). Метод Монте-Карло варьирует экспертные оценки и параметры функций принадлежности в пределах ±10 % и показывает устойчивость R. Ограничение — малая выборка проектов, поэтому применяется перекрёстная проверка с исключением по одному (leave-one-out).</w:t>
      </w:r>
    </w:p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6 План оценки адекватности и достоверности моделей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5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Показатели и критерии проверки адекватности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2835"/>
        <w:gridCol w:w="6520"/>
      </w:tblGrid>
      <w:tr>
        <w:tc>
          <w:tcPr>
            <w:tcW w:type="dxa" w:w="2835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Метод / модель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Показатели и критерии проверки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Экспертные оценки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 ≥ 0,7; значимость W по критерию χ² (p &lt; 0,05)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FMEA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Экспертная верификация реестра рисков; RPNпосле &lt; RPNдо после реализации мер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Ранговая корреляция Спирмена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Значимость rₛ по t-критерию Стьюдента (p &lt; 0,05)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Нечёткая модель Мамдани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Accuracy ≥ 0,8; precision и recall ≥ 0,75; превышение точности над классификацией по RPN; экспертная оценка согласованности выводов СППР не ниже 4 из 5 баллов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Анализ чувствительности (Монте-Карло)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Изменение R не более чем на одну категорию при вариации параметров ±10 %; коэффициент вариации R ≤ 15 %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Экономическая оценка (NPV)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NPV &gt; 0 в базовом и пессимистическом сценариях, срок окупаемости не более горизонта планирования</w:t>
            </w:r>
          </w:p>
        </w:tc>
      </w:tr>
    </w:tbl>
    <w:p>
      <w:pPr>
        <w:keepNext/>
        <w:spacing w:after="120" w:before="20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Заключение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Выбранный математический аппарат полностью покрывает задачи ВКРМ. Экспертные методы с коэффициентом Кендалла и модифицированный FMEA обеспечивают идентификацию и приоритизацию рисков при отсутствии статистики (задача 1); описательная статистика, анализ Парето и ранговая корреляция выявляют значимые факторы на ретроспективных данных (задача 2); нечёткий вывод Мамдани позволяет свести качественные факторы в интегральную оценку риска, а метрики классификации, метод Монте-Карло и NPV подтверждают точность, устойчивость и экономическую целесообразность СППР (задача 3). Для каждого метода определены критерии адекватности, что позволяет проверить гипотезу исследования.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