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МИНИСТЕРСТВО НАУКИ И ВЫСШЕГО ОБРАЗОВАНИЯ РОССИЙСКОЙ ФЕДЕРАЦИИ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федеральное государственное автономное образовательное учреждение высшего образования</w:t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«САНКТ-ПЕТЕРБУРГСКИЙ ГОСУДАРСТВЕННЫЙ УНИВЕРСИТЕТ АЭРОКОСМИЧЕСКОГО ПРИБОРОСТРОЕНИЯ»</w:t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КАФЕДРА №5</w:t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ОЦЕНКА ПРАКТИЧЕСКОЙ РАБОТЫ</w:t>
      </w:r>
    </w:p>
    <w:p>
      <w:pPr>
        <w:spacing w:after="0" w:before="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ПРЕПОДАВАТЕЛЬ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Профессор, д.т.н., доц.</w:t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Н. А. Жильникова</w:t>
            </w:r>
          </w:p>
        </w:tc>
      </w:tr>
      <w:tr>
        <w:tc>
          <w:tcPr>
            <w:tcW w:type="dxa" w:w="3402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должность, уч. степень,</w:t>
            </w:r>
            <w:r>
              <w:br/>
            </w: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звание</w:t>
            </w:r>
          </w:p>
        </w:tc>
        <w:tc>
          <w:tcPr>
            <w:tcW w:type="dxa" w:w="3118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подпись, дата</w:t>
            </w:r>
          </w:p>
        </w:tc>
        <w:tc>
          <w:tcPr>
            <w:tcW w:type="dxa" w:w="2835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инициалы, фамилия</w:t>
            </w:r>
          </w:p>
        </w:tc>
      </w:tr>
    </w:tbl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Актуализация концептуального аппарата выпускной квалификационной работы и ее плана</w:t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по дисциплине: Научно-исследовательская работа</w:t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РАБОТУ ВЫПОЛНИЛ</w:t>
      </w:r>
    </w:p>
    <w:p>
      <w:pPr>
        <w:spacing w:after="0" w:before="0" w:line="276" w:lineRule="auto"/>
        <w:jc w:val="left"/>
      </w:pPr>
      <w:r>
        <w:rPr>
          <w:rFonts w:ascii="Times New Roman" w:hAnsi="Times New Roman" w:cs="Times New Roman"/>
          <w:b w:val="0"/>
          <w:i w:val="0"/>
          <w:sz w:val="28"/>
        </w:rPr>
        <w:t>СТУДЕНТ ГР. № М558М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3118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 w:val="0"/>
                <w:sz w:val="24"/>
              </w:rPr>
              <w:t>Д. С. Рослов</w:t>
            </w:r>
          </w:p>
        </w:tc>
      </w:tr>
      <w:tr>
        <w:tc>
          <w:tcPr>
            <w:tcW w:type="dxa" w:w="3402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</w:r>
          </w:p>
        </w:tc>
        <w:tc>
          <w:tcPr>
            <w:tcW w:type="dxa" w:w="3118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подпись, дата</w:t>
            </w:r>
          </w:p>
        </w:tc>
        <w:tc>
          <w:tcPr>
            <w:tcW w:type="dxa" w:w="2835"/>
            <w:tcBorders>
              <w:top w:val="single" w:sz="6" w:color="000000"/>
              <w:left w:val="nil"/>
              <w:bottom w:val="nil"/>
              <w:right w:val="nil"/>
            </w:tcBorders>
          </w:tcPr>
          <w:p>
            <w:pPr>
              <w:spacing w:line="240" w:lineRule="auto" w:after="0" w:before="0"/>
              <w:jc w:val="center"/>
            </w:pPr>
            <w:r>
              <w:rPr>
                <w:rFonts w:ascii="Times New Roman" w:hAnsi="Times New Roman" w:cs="Times New Roman"/>
                <w:b w:val="0"/>
                <w:i/>
                <w:sz w:val="20"/>
              </w:rPr>
              <w:t>инициалы, фамилия</w:t>
            </w:r>
          </w:p>
        </w:tc>
      </w:tr>
    </w:tbl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360" w:lineRule="auto"/>
      </w:pPr>
      <w:r>
        <w:rPr>
          <w:rFonts w:ascii="Times New Roman" w:hAnsi="Times New Roman" w:cs="Times New Roman"/>
          <w:b w:val="0"/>
          <w:i w:val="0"/>
          <w:sz w:val="24"/>
        </w:rPr>
      </w:r>
    </w:p>
    <w:p>
      <w:pPr>
        <w:spacing w:after="0" w:before="0" w:line="276" w:lineRule="auto"/>
        <w:jc w:val="center"/>
      </w:pPr>
      <w:r>
        <w:rPr>
          <w:rFonts w:ascii="Times New Roman" w:hAnsi="Times New Roman" w:cs="Times New Roman"/>
          <w:b w:val="0"/>
          <w:i w:val="0"/>
          <w:sz w:val="28"/>
        </w:rPr>
        <w:t>Санкт-Петербург 2026</w:t>
      </w:r>
    </w:p>
    <w:p>
      <w:r>
        <w:br w:type="page"/>
      </w:r>
    </w:p>
    <w:p>
      <w:pPr>
        <w:spacing w:after="120" w:before="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Тема выпускной квалификационной работы магистра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«Разработка системы поддержки принятия решений по оценке рисков внедрения технологий искусственного интеллекта в IT-компании на основе нечёткой логики». Научный руководитель — Г. В. Гетманова, к.э.н., доцент кафедры № 5.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1 Обоснование актуальности исследования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Искусственный интеллект закреплён в Российской Федерации в качестве одного из национальных технологических приоритетов. Национальная стратегия развития ИИ в редакции 2024 года [1] ставит задачу массового внедрения ИИ в отраслях экономики, Стратегия научно-технологического развития [2] относит технологии обработки данных и ИИ к приоритетным направлениям, а достижение «цифровой зрелости» отраслей входит в национальные цели развития до 2030 года [3]. С 2025 года эти задачи реализуются в национальном проекте «Экономика данных и цифровая трансформация государства» [4]. IT-компании при этом одновременно выступают и разработчиками ИИ-решений, и их первыми массовыми потребителями.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Вместе с тем результативность ИИ-проектов остаётся низкой. По прогнозу Gartner, не менее 30 % проектов генеративного ИИ будут прекращены после стадии пилота к концу 2025 года из-за низкого качества данных, неадекватного контроля рисков и неясной экономической ценности [22]; исследование MIT (2025) показывает, что подавляющее большинство корпоративных пилотов генеративного ИИ не даёт измеримого финансового эффекта [23]. Причины неудач имеют специфику, не характерную для классических IT-проектов: галлюцинации и дрейф моделей, смещённость данных, состязательные атаки, утечки конфиденциальной информации, регуляторные и этические ограничения.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Регулирование рисков ИИ быстро развивается: приняты ГОСТ Р 59276-2020 [8], ISO/IEC 23894:2023 [9] и ISO/IEC 42001:2023 [10], NIST AI RMF [11], Регламент ЕС об ИИ [12], российский Кодекс этики в сфере ИИ [13]. Однако эти документы задают принципы и требования, но не дают инструмента количественной оценки рисков конкретного проекта. Классические методы — FMEA [7], вероятностные и матричные методы [6] — опираются на статистику отказов, которой для ИИ-проектов недостаточно, а большинство факторов риска носит качественный характер. Нечёткая логика [14, 15] позволяет работать с такой информацией, и нечёткие модификации FMEA известны [16, 17], но, как показал выполненный автором систематический обзор 134 публикаций и 47 патентов [24], комплексные СППР для оценки рисков именно ИИ-проектов в IT-компаниях практически не представлены.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Практическая потребность в таком инструменте высока: руководителям IT-компаний нужно на ранней стадии решить, запускать ли ИИ-проект, в каком объёме и с какими мерами контроля. Разработка СППР позволит снизить долю неуспешных ИИ-проектов и потери от них, а также встроить оценку рисков ИИ в системы менеджмента качества и риск-менеджмента организаций.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2 Научная проблема и научная задача исследования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Научная проблема состоит в противоречии между потребностью IT-компаний в обоснованной оценке рисков внедрения технологий ИИ на ранних стадиях проектов, когда информация неполна и носит преимущественно качественный характер, и отсутствием методов и инструментальных средств, которые учитывают специфику ИИ-рисков и позволяют работать с такой информацией.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Научная задача исследования заключается в разработке и научном обосновании гибридной модели и основанной на ней системы поддержки принятия решений, обеспечивающих интегральную оценку рисков внедрения технологий искусственного интеллекта в IT-компаниях на основе сочетания модифицированного FMEA-анализа и нечёткого логического вывода.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3 Объект и предмет исследования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Объект исследования — процесс управления рисками внедрения технологий искусственного интеллекта в IT-компаниях.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Предмет исследования — методы, модели и инструментальные средства оценки рисков внедрения технологий искусственного интеллекта на основе аппарата нечёткой логики.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4 Цель и задачи исследования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Цель исследования — повышение обоснованности управленческих решений о внедрении технологий искусственного интеллекта в IT-компаниях за счёт разработки системы поддержки принятия решений по оценке рисков на основе нечёткой логики.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Задачи исследования: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 Проанализировать и систематизировать риски внедрения технологий ИИ в IT-компаниях и существующие методы их оценки, обосновать применимость аппарата нечёткой логики.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 Провести анализ практики внедрения ИИ и управления сопутствующими рисками в IT-компаниях, выявить ограничения применяемых методик и сформировать требования к СППР.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 Разработать гибридную модель оценки рисков на основе модифицированного FMEA и нечёткого вывода Мамдани, реализовать на её основе СППР, выполнить её апробацию и оценить ожидаемый эффект внедрения.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5 План выпускной квалификационной работы магистра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Введение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Актуальность темы; научная задача; степень научной разработанности темы; объект и предмет; цель и задачи; методы исследования; научная новизна; теоретическая и практическая значимость; апробация результатов.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Глава 1. Теоретико-методологические основы оценки рисков внедрения технологий искусственного интеллекта в IT-компаниях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1.1. Технологии искусственного интеллекта в IT-секторе: состояние, тенденции и регулирование.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Рассматриваются основные классы ИИ-технологий, применяемых в IT-компаниях (машинное обучение, большие языковые модели, генеративный ИИ), и тенденции их внедрения. Анализируется нормативная база: Национальная стратегия развития ИИ, ГОСТ Р 59276-2020, ISO/IEC 42001:2023, Регламент ЕС об ИИ.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1.2. Риски внедрения технологий искусственного интеллекта: понятие, классификация и отраслевая специфика.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Уточняется понятие риска ИИ-проекта с позиций ГОСТ Р ИСО 31000-2019 и ISO/IEC 23894:2023. Предлагается авторская классификация рисков (технологические, связанные с данными, регуляторно-этические, организационные, финансовые, риски информационной безопасности) с выделением специфических факторов — галлюцинаций моделей, дрейфа данных, состязательных атак.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1.3. Методы оценки рисков и обоснование применения аппарата нечёткой логики.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Сравниваются методы оценки рисков (FMEA, экспертные, вероятностные, матричные) по критериям работы с неполной и качественной информацией. Обосновывается выбор нечёткого вывода Мамдани в сочетании с модифицированным FMEA как основы разрабатываемой модели.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Выводы по главе 1.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Глава 2. Анализ практики внедрения технологий искусственного интеллекта и оценки сопутствующих рисков в IT-компаниях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2.1. Методология эмпирического исследования.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Описываются выборка IT-компаний и ИИ-проектов, источники данных (ретроспективные данные проектов, анкетирование экспертов), методы сбора и обработки информации. Согласованность экспертных оценок проверяется с помощью коэффициента конкордации Кендалла.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2.2. Анализ практики внедрения ИИ и идентификация рисков ИИ-проектов.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Анализируются результаты завершённых и прекращённых ИИ-проектов, выявляются наиболее частые причины их неуспеха. Формируется реестр рисков с экспертными оценками значимости, вероятности и обнаруживаемости.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2.3. Оценка применяемых методик управления рисками и формирование требований к СППР.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Оценивается адекватность методик, применяемых в исследуемых компаниях, задачам оценки рисков ИИ-проектов, выявляются их ограничения. На этой основе формулируются функциональные и методические требования к системе поддержки принятия решений.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Выводы по главе 2.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Глава 3. Разработка системы поддержки принятия решений по оценке рисков внедрения технологий ИИ на основе нечёткой логики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3.1. Разработка гибридной модели оценки рисков на основе модифицированного FMEA и нечёткого вывода Мамдани.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Разрабатывается архитектура модели: входные лингвистические переменные, функции принадлежности, база продукционных правил, дефаззификация методом центра тяжести. Результатом является интегральный показатель риска R∈[0; 100] с категорией риска и рекомендацией для лица, принимающего решение.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3.2. Программная реализация и апробация СППР на ретроспективных данных.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Описывается программная реализация СППР и калибровка функций принадлежности по экспертным данным. Проводится верификация на ретроспективных данных ИИ-проектов с расчётом метрик accuracy, precision, recall и экспертной оценкой согласованности выводов.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3.3. Рекомендации по внедрению СППР и оценка ожидаемого эффекта.</w:t>
      </w:r>
    </w:p>
    <w:p>
      <w:pPr>
        <w:spacing w:after="8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</w:r>
      <w:r>
        <w:rPr>
          <w:rFonts w:ascii="Times New Roman" w:hAnsi="Times New Roman" w:cs="Times New Roman"/>
          <w:b w:val="0"/>
          <w:i/>
          <w:sz w:val="28"/>
        </w:rPr>
        <w:t xml:space="preserve">Аннотация: </w:t>
      </w:r>
      <w:r>
        <w:rPr>
          <w:rFonts w:ascii="Times New Roman" w:hAnsi="Times New Roman" w:cs="Times New Roman"/>
          <w:b w:val="0"/>
          <w:i w:val="0"/>
          <w:sz w:val="28"/>
        </w:rPr>
        <w:t>Разрабатываются рекомендации по встраиванию СППР в процессы риск-менеджмента и управления проектами IT-компании. Выполняется технико-экономическое обоснование и оценка ожидаемого эффекта от снижения доли неуспешных ИИ-проектов.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Выводы по главе 3.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Заключение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Планируется сделать выводы о том, что риски ИИ-проектов в IT-компаниях имеют специфику, требующую отдельной классификации; что существующие методики не позволяют обоснованно оценивать их в условиях качественной информации; и что разработанная гибридная СППР обеспечивает интегральную оценку риска с приемлемой точностью и экономически обоснована для внедрения.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Список литературы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Предварительный список приведён ниже (24 источника); в ходе работы будет расширен до 50–60 источников.</w:t>
      </w:r>
    </w:p>
    <w:p>
      <w:pPr>
        <w:spacing w:after="0" w:before="0" w:line="360" w:lineRule="auto"/>
        <w:ind w:firstLine="709"/>
        <w:jc w:val="both"/>
      </w:pPr>
      <w:r>
        <w:rPr>
          <w:rFonts w:ascii="Times New Roman" w:hAnsi="Times New Roman" w:cs="Times New Roman"/>
          <w:b/>
          <w:i w:val="0"/>
          <w:sz w:val="28"/>
        </w:rPr>
        <w:t>Приложения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Приложение А — анкета экспертной оценки рисков ИИ-проектов; приложение Б — реестр рисков и база продукционных правил; приложение В — функции принадлежности лингвистических переменных; приложение Г — фрагменты программной реализации и интерфейса СППР; приложение Д — акт апробации результатов.</w:t>
      </w:r>
    </w:p>
    <w:p>
      <w:pPr>
        <w:spacing w:after="120" w:before="200" w:line="360" w:lineRule="auto"/>
        <w:ind w:firstLine="709"/>
        <w:jc w:val="left"/>
      </w:pPr>
      <w:r>
        <w:rPr>
          <w:rFonts w:ascii="Times New Roman" w:hAnsi="Times New Roman" w:cs="Times New Roman"/>
          <w:b/>
          <w:i w:val="0"/>
          <w:sz w:val="28"/>
        </w:rPr>
        <w:t>Предварительный список литературы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1. Указ Президента Российской Федерации от 10.10.2019 № 490 «О развитии искусственного интеллекта в Российской Федерации» (в ред. Указа Президента РФ от 15.02.2024 № 124).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2. Указ Президента Российской Федерации от 28.02.2024 № 145 «О Стратегии научно-технологического развития Российской Федерации».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3. Указ Президента Российской Федерации от 07.05.2024 № 309 «О национальных целях развития Российской Федерации на период до 2030 года и на перспективу до 2036 года».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4. Национальный проект «Экономика данных и цифровая трансформация государства» (2025–2030 гг.) [Электронный ресурс]. — URL: https://digital.gov.ru (дата обращения: 26.09.2026).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5. ГОСТ Р ИСО 31000-2019. Менеджмент риска. Принципы и руководство. — М. : Стандартинформ, 2020.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6. ГОСТ Р 58771-2019. Менеджмент риска. Технологии оценки риска. — М. : Стандартинформ, 2020.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7. ГОСТ Р 27.303-2021 (МЭК 60812:2018). Надежность в технике. Анализ видов и последствий отказов. — М. : Российский институт стандартизации, 2021.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8. ГОСТ Р 59276-2020. Системы искусственного интеллекта. Способы обеспечения доверия. Общие положения. — М. : Стандартинформ, 2021.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9. ISO/IEC 23894:2023. Information technology — Artificial intelligence — Guidance on risk management. — Geneva : ISO, 2023.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10. ISO/IEC 42001:2023. Information technology — Artificial intelligence — Management system. — Geneva : ISO, 2023.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11. NIST AI 100-1. Artificial Intelligence Risk Management Framework (AI RMF 1.0). — Gaithersburg : NIST, 2023. — 42 p.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12. Regulation (EU) 2024/1689 of the European Parliament and of the Council of 13 June 2024 laying down harmonised rules on artificial intelligence (Artificial Intelligence Act) // Official Journal of the European Union. — 2024.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13. Кодекс этики в сфере искусственного интеллекта [Электронный ресурс] / Альянс в сфере искусственного интеллекта. — 2021. — URL: https://ethics.a-ai.ru (дата обращения: 26.09.2026).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14. Zadeh L. A. Fuzzy sets // Information and Control. — 1965. — Vol. 8, No. 3. — P. 338–353.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15. Mamdani E. H., Assilian S. An experiment in linguistic synthesis with a fuzzy logic controller // International Journal of Man-Machine Studies. — 1975. — Vol. 7, No. 1. — P. 1–13.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16. Bowles J. B., Peláez C. E. Fuzzy logic prioritization of failures in a system failure mode, effects and criticality analysis // Reliability Engineering &amp; System Safety. — 1995. — Vol. 50, No. 2. — P. 203–213.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17. Liu H.-C., Liu L., Liu N. Risk evaluation approaches in failure mode and effects analysis: A literature review // Expert Systems with Applications. — 2013. — Vol. 40, No. 2. — P. 828–838.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18. Леоненков А. В. Нечёткое моделирование в среде MATLAB и fuzzyTECH. — СПб. : БХВ-Петербург, 2005. — 736 с.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19. Ярушкина Н. Г. Основы теории нечётких и гибридных систем. — М. : Финансы и статистика, 2004. — 320 с.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20. Борисов В. В., Круглов В. В., Федулов А. С. Нечёткие модели и сети. — М. : Горячая линия – Телеком, 2007. — 284 с.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21. Ларичев О. И. Теория и методы принятия решений. — М. : Логос, 2000. — 296 с.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22. Gartner Predicts 30% of Generative AI Projects Will Be Abandoned After Proof of Concept By End of 2025 [Электронный ресурс] / Gartner. — 29.07.2024. — URL: https://www.gartner.com/en/newsroom (дата обращения: 26.09.2026).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23. The GenAI Divide: State of AI in Business 2025 / MIT NANDA. — Cambridge, MA : MIT, 2025.</w:t>
      </w:r>
    </w:p>
    <w:p>
      <w:pPr>
        <w:spacing w:after="40" w:before="0" w:line="360" w:lineRule="auto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8"/>
        </w:rPr>
        <w:t>24. Рослов Д. С. Современное состояние и перспективы применения нечёткой логики для оценки рисков внедрения технологий искусственного интеллекта в IT-компаниях: систематический аналитический обзор / Д. С. Рослов ; науч. рук. Г. В. Гетманова. — СПб. : ГУАП, 2026. — 16 с.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